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gb_spectro_chromo_poct</w:t>
      </w:r>
    </w:p>
    <w:p>
      <w:r>
        <w:t xml:space="preserve"> </w:t>
      </w:r>
    </w:p>
    <w:p>
      <w:pPr>
        <w:pStyle w:val="Heading2"/>
      </w:pPr>
      <w:r>
        <w:t>Title</w:t>
      </w:r>
    </w:p>
    <w:p>
      <w:r>
        <w:t>Quantitative absorption-spectroscopy of chromogenic culture media for rapid point-of-care detection of Group B Streptococcus from intrapartum vaginal/rectal swabs</w:t>
      </w:r>
    </w:p>
    <w:p>
      <w:r>
        <w:t xml:space="preserve"> </w:t>
      </w:r>
    </w:p>
    <w:p>
      <w:pPr>
        <w:pStyle w:val="Heading2"/>
      </w:pPr>
      <w:r>
        <w:t>Short Hypothesis</w:t>
      </w:r>
    </w:p>
    <w:p>
      <w:r>
        <w:t>If the absorption spectrum of pigment produced by chromogenic culture media is measured by a calibrated spectroscopic detector and converted to a computed electrical variable, then that variable will predict GBS concentration (CFU/swab) with correlation R &gt;= 0.90 and enable binary colonization classification achieving clinical sensitivity &gt;=98% and specificity &gt;=98% versus enriched Lim broth culture within 30 minutes of sample collection.</w:t>
      </w:r>
    </w:p>
    <w:p>
      <w:r>
        <w:t xml:space="preserve"> </w:t>
      </w:r>
    </w:p>
    <w:p>
      <w:pPr>
        <w:pStyle w:val="Heading2"/>
      </w:pPr>
      <w:r>
        <w:t>Related Work</w:t>
      </w:r>
    </w:p>
    <w:p>
      <w:r>
        <w:t>Current intrapartum GBS detection methods fall into two broad categories: culture-based and nucleic-acid-based tests (NAATs). Culture-based chromogenic plates are low-cost and simple but rely on visual color readouts that are subjective, slow (18-48 h), and rarely quantitative. NAATs (PCR, LAMP) deliver high sensitivity and fast results but require complex reagents, instrument cost, and may face supply-chain limits in low-resource settings; some NAAT workflows still need 30+ minutes and are not universally CLIA-waivable. Prior work on colorimetric assays and optical detection has shown that pigment intensity can reflect target load, but existing implementations lack standardized spectroscopy calibration, fail to control optical path and reagent variability, and do not provide a validated conversion from pigment signal to CFU/swab. Limitations unresolved: (1) subjectivity of visual reads, (2) absence of a reproducible, quantitative mapping from pigment optical signal to organism count, (3) impact of sample matrix and antibiotics on pigment formation, and (4) lack of integration of optical measurement into a closed, rapid POCT workflow with regulatory-grade performance claims.</w:t>
      </w:r>
    </w:p>
    <w:p>
      <w:r>
        <w:t xml:space="preserve"> </w:t>
      </w:r>
    </w:p>
    <w:p>
      <w:pPr>
        <w:pStyle w:val="Heading2"/>
      </w:pPr>
      <w:r>
        <w:t>Abstract</w:t>
      </w:r>
    </w:p>
    <w:p>
      <w:r>
        <w:t>We propose a rapid point-of-care method that quantifies Group B Streptococcus (GBS) colonization by measuring pigment produced on chromogenic culture media using specific absorption spectroscopy and converting the optical signal into a calibrated electrical/computed variable. The device uses a closed cartridge with preloaded chromogenic media; after swab elution and short incubation, a compact spectrometer records absorbance across a defined visible band. A signal-processing algorithm corrects for optical path length, internal standard, and background to produce a numeric readout directly related to colony-forming units per swab (CFU/swab). The main contribution is a validated, quantitative link between pigment absorbance and GBS load that supports fast intrapartum decision-making. Expected outcomes are analytical LOD ≤1x10^3 CFU/swab, clinical sensitivity and specificity ≥98% versus enriched Lim broth culture, time-to-result ≤30 minutes, and a low-cost cartridge BOM compatible with scaled manufacture. This approach aims to combine the affordability of culture media with the speed and objectivity of instrumented detection for actionable intrapartum screening.</w:t>
      </w:r>
    </w:p>
    <w:p>
      <w:r>
        <w:t xml:space="preserve"> </w:t>
      </w:r>
    </w:p>
    <w:p>
      <w:pPr>
        <w:pStyle w:val="Heading2"/>
      </w:pPr>
      <w:r>
        <w:t>Experiments</w:t>
      </w:r>
    </w:p>
    <w:p>
      <w:r>
        <w:t>Datasets: 1) Clinical study: multisite prospective collection of N=700 paired combined vaginal/rectal swabs from pregnant persons in active labor across 6 sites (expected GBS prevalence 15% -&gt; ~105 culture positives). For each subject collect: index swab for POCT device, replicate swab for enriched Lim broth culture with species confirmation, and aliquot for FDA-cleared NAAT (Cepheid Xpert or BD MAX). 2) Analytical panels: serially diluted GBS reference strains (10^1 to 10^6 CFU/swab) with plated CFU counts; inclusivity panel (&gt;=20 isolates covering serotypes Ia-IX, hemolytic and non-hemolytic); exclusivity panel (S. dysgalactiae, S. pyogenes, S. pneumoniae, Enterococcus faecalis, Lactobacillus spp., Gardnerella vaginalis, E. coli, Staph aureus, Ureaplasma, Mycoplasma, Candida) at &gt;=10^6 CFU/swab. 3) Interference panel: blood (5% v/v), vaginal lubricant (1% v/v), antiseptic residue, and common antibiotics at clinically relevant concentrations. Baselines: enriched Lim broth culture (primary comparator), FDA-cleared NAAT (secondary comparator), and human visual read of chromogenic plate. Evaluation metrics: clinical sensitivity and specificity with 95% CI vs enriched culture; analytical LOD (lowest CFU/swab with &gt;=95% detection); Pearson correlation and R^2 between spectroscopic variable and plated CFU; Bland-Altman of predicted vs measured CFU; ROC AUC for colonization threshold; time-to-result median and 95th percentile; invalid/indeterminate rate. Experimental setup: prototype closed cartridge with preloaded chromogenic medium, controlled short incubation (e.g., 10-30 min), integrated spectrometer measuring 400-700 nm absorbance at 1 nm resolution, internal reference LED for path correction, and data pipeline that computes corrected absorbance peak and applies calibration to yield CFU estimate. Calibration: generate standard curve from serial dilution panel (n &gt;=20 replicates per dilution) using linear or nonlinear regression with internal standard normalization. Replicates: analyticals n=20 per dilution; inclusivity/exclusivity n&gt;=3 per isolate at target concentrations. Clinical testing: each index run in duplicate on device when feasible; run FDA-cleared NAAT and enriched culture per SOP. Statistical analysis: mixed-effects logistic regression with site as random intercept for sensitivity/specificity; bootstrap 95% CIs for correlation metrics; interim analysis at 50% enrollment with O'Brien-Fleming boundaries. Ablation studies: A) full pipeline (multi-wavelength spectrum + algorithm + internal standard) versus B) single-wavelength absorbance at pigment peak, C) spectrum without internal standard normalization, D) visual read; compare performance on same clinical and analytical samples. Additional subgroup analyses: samples with antibiotics administered within 4 hours, non-hemolytic strains, and varying swab elution volumes. Success criteria: clinical sensitivity and specificity &gt;=98% (primary), analytical LOD &lt;=1x10^3 CFU/swab (primary), correlation R &gt;=0.90 between spectroscopic variable and plate counts.</w:t>
      </w:r>
    </w:p>
    <w:p>
      <w:r>
        <w:t xml:space="preserve"> </w:t>
      </w:r>
    </w:p>
    <w:p>
      <w:pPr>
        <w:pStyle w:val="Heading2"/>
      </w:pPr>
      <w:r>
        <w:t>Risk Factors And Limitations</w:t>
      </w:r>
    </w:p>
    <w:p>
      <w:r>
        <w:t>Technical failure modes: variable pigment production across strains or under antibiotic suppression may reduce signal, optics contamination or cartridge seal failure may alter absorbance, and uneven sample elution or hold-up volume variation can bias measurements. Data and evaluation biases: site-level differences in swab collection technique, prevalence heterogeneity, and enrichment-culture sensitivity limits can affect comparator accuracy. Scalability and supply limits: spectrometer component sourcing, enzyme or media raw materials, and lyophilization stability may constrain scale and shelf life. Compute and algorithm limits: calibration drift, temperature-dependent optical changes, and need for periodic re-calibration challenge long-term robustness. Limits to generalization: method depends on chromogenic pigment chemistry and may not transfer to media that produce weak or delayed color; performance may differ for cfb-variant or atypical GBS strains. Regulatory and clinical constraints: achieving CLIA-waiver-level human-factors performance in high-stress intrapartum settings may require iterative redesign. Quantitative examples: if antibiotic exposure reduces pigment formation by &gt;5-fold, analytical LOD could exceed target and clinical sensitivity may drop below 98%.</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