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phnom_dek_slag_recipes</w:t>
      </w:r>
    </w:p>
    <w:p>
      <w:r>
        <w:t xml:space="preserve"> </w:t>
      </w:r>
    </w:p>
    <w:p>
      <w:pPr>
        <w:pStyle w:val="Heading2"/>
      </w:pPr>
      <w:r>
        <w:t>Title</w:t>
      </w:r>
    </w:p>
    <w:p>
      <w:r>
        <w:t>Multimethod compositional, isotopic, and microstructural analysis to reconstruct technological trajectories in iron smelting at Phnom Dek, Cambodia (7th–20th century CE)</w:t>
      </w:r>
    </w:p>
    <w:p>
      <w:r>
        <w:t xml:space="preserve"> </w:t>
      </w:r>
    </w:p>
    <w:p>
      <w:pPr>
        <w:pStyle w:val="Heading2"/>
      </w:pPr>
      <w:r>
        <w:t>Short Hypothesis</w:t>
      </w:r>
    </w:p>
    <w:p>
      <w:r>
        <w:t>If distinct smelting recipes and operational practices were used at Phnom Dek, then slag produced in different technological phases will form statistically separable compositional and isotopic clusters that correlate with stratigraphic chronology rather than with post-depositional alteration.</w:t>
      </w:r>
    </w:p>
    <w:p>
      <w:r>
        <w:t xml:space="preserve"> </w:t>
      </w:r>
    </w:p>
    <w:p>
      <w:pPr>
        <w:pStyle w:val="Heading2"/>
      </w:pPr>
      <w:r>
        <w:t>Related Work</w:t>
      </w:r>
    </w:p>
    <w:p>
      <w:r>
        <w:t>Existing archaeometallurgical studies combine bulk chemistry, mineralogy, experimental smelts, and sometimes isotopes to infer recipes and provenance. Typical approaches rely on raw concentration comparisons or standard multivariate methods on closed compositional data, use limited isotope baselines, or present small, unreplicated sample sets. Microstructural analyses and thermodynamic modeling have been applied unevenly and often lack integration with robust chronological models. Limitations include closure effects in compositional analyses (leading to spurious correlations), inconsistent QA/QC across labs, insufficient inter-lab harmonization, weak isotope baseline sampling that reduces provenance resolution, and sparse experimental replication that limits inference about operational parameters. Spatial and temporal integration is often qualitative rather than probabilistic, and many studies do not propagate measurement uncertainty through clustering and provenance models.</w:t>
      </w:r>
    </w:p>
    <w:p>
      <w:r>
        <w:t xml:space="preserve"> </w:t>
      </w:r>
    </w:p>
    <w:p>
      <w:pPr>
        <w:pStyle w:val="Heading2"/>
      </w:pPr>
      <w:r>
        <w:t>Abstract</w:t>
      </w:r>
    </w:p>
    <w:p>
      <w:r>
        <w:t>This study tests whether long-term changes in iron production at Phnom Dek can be resolved as discrete technological recipes and transmission events by combining compositional analysis, isotope provenance, and microstructural characterization of slag with experimental replication and stratigraphic dating. We will generate a regionally anchored isotope baseline (ores, soils, fuels), high-replication bulk and microchemical datasets (pXRF, LA-ICP-MS, EPMA, SEM-EDS, XRD), and experimental smelts under controlled factorial conditions. Data will be analyzed using compositional data analysis (zero-replacement and centered log-ratio transform), robust PCA, probabilistic clustering (Bayesian Gaussian mixtures) and isotopic mixing models, with uncertainty propagated by bootstrap resampling. Main contributions are (1) a reproducible protocol that links slag signatures to specific recipe parameters, (2) a probabilistic spatio-temporal map of technological trajectories at Phnom Dek, and (3) open-data QA/QC templates and inter-lab validation benchmarks. Expected outcomes include statistically validated recipe clusters tied to stratigraphic phases and clearer separation of recipe change from raw-material variation.</w:t>
      </w:r>
    </w:p>
    <w:p>
      <w:r>
        <w:t xml:space="preserve"> </w:t>
      </w:r>
    </w:p>
    <w:p>
      <w:pPr>
        <w:pStyle w:val="Heading2"/>
      </w:pPr>
      <w:r>
        <w:t>Experiments</w:t>
      </w:r>
    </w:p>
    <w:p>
      <w:r>
        <w:t>Datasets: (1) Archaeological slag and furnace-context samples: target N=150 independent slag fragments across contexts; aim ≥10–15 samples per compositional cluster. (2) Isotope baseline: 30–50 samples (5–10 per major ore outcrop; 3–5 soils per catchment; multiple fuel specimens). (3) Experimental smelts: staged factorial pilot 2^4 design (16 cells) with 4 replicates each (64 runs) producing experimental slags. Analytical methods per sample: pXRF (screening), fused-bead XRF/ICP-MS for majors/trace, LA-ICP-MS spots on glass (10 spots per glass), EPMA 20 spot analyses per major phase, SEM-EDS maps (1–2 µm pixel), powder XRD (Rietveld, 3 replicates per context), Sr/Pb/Nd and δ56Fe isotopes (≥3 replicates per sample). Baselines: compare three analysis pipelines: A) bulk chemistry only (no CoDA), B) chemistry + microstructure, C) full pipeline (chemistry + microstructure + isotopes + chronology). Evaluation metrics: clustering: silhouette score, adjusted Rand index (ARI), bootstrap cluster stability; classification: probabilistic assignment accuracy and calibration (Brier score); provenance: isotopic mixing model log-likelihood and source assignment posterior probabilities; chronology: concordance with OxCal phase assignments (agreement index %). Experimental reproducibility: variance components and power (target power ≥0.8 to detect medium effects, Cohen's f2~0.25). Data processing and models: multiplicative zero-replacement, clr transform, robust PCA, Bayesian Gaussian mixture models with pre-registered priors, bootstrap uncertainty propagation (≥1000 resamples), random-forest supervised classification with k-fold CV (k=10). Ablation studies: (1) remove isotopic data from C and measure drop in provenance assignment likelihood and cluster stability; (2) remove microstructural variables and measure change in ARI and classification accuracy. Inter-lab round-robin: blind-split exchanges to 3 labs quarterly; record bias and RMSE. Acceptance thresholds: silhouette&gt;0.5 and ARI&gt;0.7 for robust clusters. Reproducibility: publish analysis notebooks with uncertainty propagation examples.</w:t>
      </w:r>
    </w:p>
    <w:p>
      <w:r>
        <w:t xml:space="preserve"> </w:t>
      </w:r>
    </w:p>
    <w:p>
      <w:pPr>
        <w:pStyle w:val="Heading2"/>
      </w:pPr>
      <w:r>
        <w:t>Risk Factors And Limitations</w:t>
      </w:r>
    </w:p>
    <w:p>
      <w:r>
        <w:t>Analytical contamination or modern isotopic contamination in baseline samples can bias provenance results. Insufficient short-lived datable material may leave stratigraphic phases poorly constrained. Small per-cluster sample sizes (less than 10) reduce statistical power and increase false cluster detection. Inter-lab bias and instrument drift may create systematic offsets; round-robin may reveal but not eliminate all bias. Thermo-chemical alterations and post-depositional diagenesis can change slag chemistry and confuse recipe signals. Gaussian mixture and CoDA assumptions may not hold for all datasets, limiting model fit. Experimental smelts may not capture full range of ancient operational variation. Results may not generalize beyond Phnom Dek due to local ore variability and cultural practices. Permitting, access, or funding delays can constrain sample acquisition and analysis timelines.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