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composite_bow_eurasia</w:t>
      </w:r>
    </w:p>
    <w:p>
      <w:r>
        <w:t xml:space="preserve"> </w:t>
      </w:r>
    </w:p>
    <w:p>
      <w:pPr>
        <w:pStyle w:val="Heading2"/>
      </w:pPr>
      <w:r>
        <w:t>Title</w:t>
      </w:r>
    </w:p>
    <w:p>
      <w:r>
        <w:t>Integrating iconographic scoring, proteomic and adhesive chemistry, radiocarbon dating, and Bayesian spatial modeling to reassess the origin of the full (horn–wood–sinew) composite bow in ancient Eurasia</w:t>
      </w:r>
    </w:p>
    <w:p>
      <w:r>
        <w:t xml:space="preserve"> </w:t>
      </w:r>
    </w:p>
    <w:p>
      <w:pPr>
        <w:pStyle w:val="Heading2"/>
      </w:pPr>
      <w:r>
        <w:t>Short Hypothesis</w:t>
      </w:r>
    </w:p>
    <w:p>
      <w:r>
        <w:t>Securely dated artifacts and iconography from the Near East will exhibit the three independent signatures of full composite bows (laminated horn–wood construction visible in CT, authenticated horn/sinew adhesive proteins, and supporting calibrated AMS dates) earlier than any other Eurasian region, indicating the Near East as the primary origin under the project sampling regime.</w:t>
      </w:r>
    </w:p>
    <w:p>
      <w:r>
        <w:t xml:space="preserve"> </w:t>
      </w:r>
    </w:p>
    <w:p>
      <w:pPr>
        <w:pStyle w:val="Heading2"/>
      </w:pPr>
      <w:r>
        <w:t>Related Work</w:t>
      </w:r>
    </w:p>
    <w:p>
      <w:r>
        <w:t>Prior studies use iconography, typology, radiocarbon dates, or single‑lab biomolecular assays to argue for Late Bronze Age origins and rapid Eurasian spread. These approaches often treat evidence streams separately, use inconsistent definitions of "composite bow", and lack reproducible authentication thresholds. Proteomic studies improved taxonomic identification but vary by lab and rarely integrate calibrated dates or spatial models. Iconographic analyses exist but lack standard decision rules and formal likelihood mapping to material data. Radiocarbon work provides chronology but frequently samples non‑diagnostic materials or omits reservoir effects tied to adhesives. Overall weaknesses: small or biased samples, inconsistent contamination/authentication protocols, absence of preregistered power analyses, limited interlab round‑robin validation, and no agreed quantitative fusion model to combine iconography, proteomics, chemistry, and chronology.</w:t>
      </w:r>
    </w:p>
    <w:p>
      <w:r>
        <w:t xml:space="preserve"> </w:t>
      </w:r>
    </w:p>
    <w:p>
      <w:pPr>
        <w:pStyle w:val="Heading2"/>
      </w:pPr>
      <w:r>
        <w:t>Abstract</w:t>
      </w:r>
    </w:p>
    <w:p>
      <w:r>
        <w:t>The study reevaluates claims about the origin and spread of the full (horn–wood–sinew) composite bow in ancient Eurasia by integrating iconographic, material, molecular, and chronological data within a unified Bayesian spatial framework. We combine a pilot corpus of CT‑characterised artifacts (5–10 objects), a coded iconographic/textual sample (50 images, 10 texts), proteomic adhesive and structural protein analyses, GC‑MS adhesive chemistry, and calibrated AMS radiocarbon dates. We pre‑register decision rules for iconographic likelihoods, proteomic authentication, and a three‑signature rubric (lamination, molecular signature, functional replication). A Bayesian network will fuse conditional likelihoods from each stream and output region‑of‑origin posterior probabilities. We will validate the approach with simulation‑based power analyses and round‑robin interlab tests (blind splits) to quantify sensitivity, specificity, and reproducibility. The expected outcome is a reproducible, falsifiable estimate of where and when the full composite bow first appears in Eurasia, accompanied by open data, code, and reference libraries to enable independent replication and future refinement.</w:t>
      </w:r>
    </w:p>
    <w:p>
      <w:r>
        <w:t xml:space="preserve"> </w:t>
      </w:r>
    </w:p>
    <w:p>
      <w:pPr>
        <w:pStyle w:val="Heading2"/>
      </w:pPr>
      <w:r>
        <w:t>Experiments</w:t>
      </w:r>
    </w:p>
    <w:p>
      <w:r>
        <w:t>Datasets: (1) Pilot physical set: 5–10 CT‑verified laminated objects selected across macro‑regions (Steppe, Central Asia, China, Near East, Greece) with linked accession and contextual metadata. (2) Iconographic/textual pilot: 50 high‑resolution images + 10 technical texts coded with the composite‑likelihood rubric. (3) Reference libraries: authenticated voucher spectra for horn, tendon, sinew taxa and adhesive standards. (4) Simulated datasets: synthetic spatio‑temporal cases under Steppe‑first, Near‑East‑first, and multiple‑origin scenarios varying sample sizes and AMS uncertainties. Baselines: A) iconography‑only inference (likelihood ratio aggregation), B) proteomics+GC‑MS only with simple rule thresholds, C) radiocarbon-only chronological clustering, D) naive evidence voting (equal weights). Proposed method: Bayesian network that fuses conditional likelihoods from iconography (LR mapping), proteomic authentication posterior (Bayesian classifier output), adhesive chemistry likelihoods, and OxCal calibrated date posteriors; spatial hierarchical prior for region origin. Evaluation metrics: true positive rate (TPR), false positive rate (FPR), area under ROC (AUC) on simulations, Brier score and calibration of origin posterior, posterior probability mass on true origin, interlab peptide concordance rate (%), Cohen's kappa for iconography coding, and CV (%) for GC‑MS marker ratios. Experimental setup: CT imaging at 5–20 μm voxel; micro‑sampling 0.5–2 mg for proteomics and 0.1–1 mg for GC‑MS/FTIR; blind split aliquots to ≥2 proteomics labs and ≥2 chemistry labs; OxCal modeling with insertion tests and reservoir priors when indicated. Ablation studies: remove iconography input; remove proteomic input; remove adhesive chemistry; vary sample size per region (n=5,10,20) to measure power. Comparison study: full Bayesian fusion versus each baseline; report metric differences with 95% credible intervals. Reproducibility: provide code (R/Python), OxCal templates, and simulation scripts in a public repo.</w:t>
      </w:r>
    </w:p>
    <w:p>
      <w:r>
        <w:t xml:space="preserve"> </w:t>
      </w:r>
    </w:p>
    <w:p>
      <w:pPr>
        <w:pStyle w:val="Heading2"/>
      </w:pPr>
      <w:r>
        <w:t>Risk Factors And Limitations</w:t>
      </w:r>
    </w:p>
    <w:p>
      <w:r>
        <w:t>Technical failures: low endogenous protein yield, high contamination, or failed GC‑MS identification will reduce analyzable sample count. Museum or legal denial of destructive sampling limits material evidence and biases regional sampling. Interlab variability in peptide detection and GC‑MS ratios may reduce reproducibility (round‑robin required). Radiocarbon issues: reservoir or old‑wood effects may misplace dates; OxCal priors may dominate when sample counts are low. Iconography limits: stylized art may produce false positives; inter‑coder disagreement can lower confidence (needs kappa). Statistical limits: small or uneven n per region reduces discrimination power and increases posterior uncertainty. Model limits: Bayesian network misspecification or incorrect likelihood mappings (e.g., wrong LR for iconography) can bias origin inference. Generalization: results depend on available collections and may not represent undocumented or perishable traditions. Logistical constraints: CT scheduling, cross‑border sample transport, and permit timelines may delay experiments and reduce adherence to planned sample sizes.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