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pleistocene_western_europe_dispersal</w:t>
      </w:r>
    </w:p>
    <w:p>
      <w:r>
        <w:t xml:space="preserve"> </w:t>
      </w:r>
    </w:p>
    <w:p>
      <w:pPr>
        <w:pStyle w:val="Heading2"/>
      </w:pPr>
      <w:r>
        <w:t>Title</w:t>
      </w:r>
    </w:p>
    <w:p>
      <w:r>
        <w:t>Integrating multi-proxy chronological, biomolecular, and paleoenvironmental data to test dispersal pulses and population dynamics in early to middle Pleistocene western Europe</w:t>
      </w:r>
    </w:p>
    <w:p>
      <w:r>
        <w:t xml:space="preserve"> </w:t>
      </w:r>
    </w:p>
    <w:p>
      <w:pPr>
        <w:pStyle w:val="Heading2"/>
      </w:pPr>
      <w:r>
        <w:t>Short Hypothesis</w:t>
      </w:r>
    </w:p>
    <w:p>
      <w:r>
        <w:t>If climatic and resource corridors opened during the early to middle Pleistocene, then integrated multi-proxy models will detect rapid, clustered dispersal pulses into western Europe within 10,000 years of corridor windows, producing distinct spatiotemporal occupation clusters that differ from continuous slow-diffusion expansion.</w:t>
      </w:r>
    </w:p>
    <w:p>
      <w:r>
        <w:t xml:space="preserve"> </w:t>
      </w:r>
    </w:p>
    <w:p>
      <w:pPr>
        <w:pStyle w:val="Heading2"/>
      </w:pPr>
      <w:r>
        <w:t>Related Work</w:t>
      </w:r>
    </w:p>
    <w:p>
      <w:r>
        <w:t>Prior work has used geochronology, lithic distributions, faunal taphonomy, isotopes, and biomolecules to infer early hominin dispersal patterns. Existing approaches often rely on single-proxy inference or ad hoc combination of proxies, leading to inconsistent timing and weak tests of dispersal mechanisms. Limitations include: poor propagation of dating and proxy uncertainty into demographic models, inconsistent destructive-sampling rules and inter-lab QA, lack of standardized effect-size assumptions for power calculations, and insufficient crosswalks between chronological toolchains. Comparative model studies are sparse, and there is no widely adopted validation set or null-model suite for testing pulse versus diffusion hypotheses. These gaps reduce reproducibility and make it hard to adjudicate why a chronological gap between Asia and western Europe exists.</w:t>
      </w:r>
    </w:p>
    <w:p>
      <w:r>
        <w:t xml:space="preserve"> </w:t>
      </w:r>
    </w:p>
    <w:p>
      <w:pPr>
        <w:pStyle w:val="Heading2"/>
      </w:pPr>
      <w:r>
        <w:t>Abstract</w:t>
      </w:r>
    </w:p>
    <w:p>
      <w:r>
        <w:t>This project tests whether openings of climatic and resource corridors drove rapid dispersal pulses into western Europe during the early to middle Pleistocene by integrating geochronology, biomolecular proxies (ancient DNA and palaeoproteomics), isotopes, lithic evidence, taphonomy and paleoenvironmental reconstructions. We combine hierarchical Bayesian age models, agent-based dispersal simulations, and approximate Bayesian computation (ABC-SMC) to infer timing, rate and routes of movement while propagating lab and stratigraphic uncertainty. Main contributions are: (1) a harmonized sampling and QA framework with a calibrated prioritization rubric; (2) an effect-size registry and power analyses for core proxies; and (3) an open validation dataset and null-model suite for pulse vs diffusion scenarios. Expected outcomes include quantified support for pulse or diffusion hypotheses, estimates of corridor timing relative to occupation ages, and reproducible workflows for multi-proxy inference that reduce ambiguity in explaining the Asia–western Europe chronological gap.</w:t>
      </w:r>
    </w:p>
    <w:p>
      <w:r>
        <w:t xml:space="preserve"> </w:t>
      </w:r>
    </w:p>
    <w:p>
      <w:pPr>
        <w:pStyle w:val="Heading2"/>
      </w:pPr>
      <w:r>
        <w:t>Experiments</w:t>
      </w:r>
    </w:p>
    <w:p>
      <w:r>
        <w:t>Datasets: (A) Published multi-proxy records from 25 well-dated early–middle Pleistocene western European sites (chronology, lithics, fauna, isotopes, available aDNA/proteomics); (B) New pilot multi-proxy sampling from 8 priority stratigraphic units across 5 sites following the project rubric; (C) Synthetic simulated datasets with known dispersal kernels and occupancy histories for identifiability tests. Baselines: (1) continuous diffusion model (baseline slow expansion), (2) single-proxy chronologies (geochronology-only), (3) multi-proxy but uncalibrated-weight ensemble. Methods: hierarchical Bayesian age-depth modeling (PyMC/Stan) to produce posterior age distributions per unit; agent-based dispersal simulations parameterized by demographic priors; ABC-SMC (approximate Bayesian computation – sequential Monte Carlo) for parameter inference. Evaluation metrics: timing error (median absolute error in kyr), pulse detection precision/recall (presence/absence of clustered occupations), posterior coverage of true ages (fraction of true ages within 95% credible intervals), model selection scores (Bayes factor where applicable; explain: Bayes factor compares models), parameter identifiability measures (posterior variance), and proxy success rates (aDNA/proteomics recovery %). Experimental setup: (i) Fit models to published dataset and to pilot data; (ii) Hold-out validation: leave out 5 benchmark sites, infer parameters, then predict hold-out occupancies; (iii) Ablation study: run full pipeline removing one proxy class at a time (no aDNA, no proteomics, no isotopes, no lithics) and measure change in timing error and model selection; (iv) Rubric calibration: grid search over rubric weight vectors using pilot sites and stakeholder voting to choose weights that maximize predictive performance on hold-outs; (v) Inter-lab QA simulation: include duplicate sample workflows to quantify effect of lab discordance on posterior uncertainty. Report all code, containerized workflows, and data with semantic versioning.</w:t>
      </w:r>
    </w:p>
    <w:p>
      <w:r>
        <w:t xml:space="preserve"> </w:t>
      </w:r>
    </w:p>
    <w:p>
      <w:pPr>
        <w:pStyle w:val="Heading2"/>
      </w:pPr>
      <w:r>
        <w:t>Risk Factors And Limitations</w:t>
      </w:r>
    </w:p>
    <w:p>
      <w:r>
        <w:t>Technical failure modes: poor biomolecular preservation (aDNA &lt;1% endogenous; proteomics failure) and diagenesis of isotopes limiting usable samples. Dating discordance: conflicting multi-method ages that produce wide or multimodal posteriors (limits timing resolution). Data bias: uneven geographic sampling or preservation-driven site visibility causing biased corridor inference. Model non-identifiability: dispersal kernel and carrying capacity trade-offs may be weakly informed by available data leading to broad posteriors. Scalability: ABC-SMC and agent-based simulations may require high compute (HPC) for full posterior exploration. Ethical and legal constraints: permitting delays, MTAs, or community requests for coordinate redaction may reduce usable data. Inter-lab QA failures: systematic lab biases can inflate uncertainty or force exclusion of datasets. Generalization limits: findings apply to studied time windows and regions and may not transfer to other periods or continents.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