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english_policy_misrecognition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evaluation of policy-driven misrecognition in English-in-education using a Misrecognition Index and quasi-experimental causal designs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Introduction of a high-accountability inspection regime or funding-conditionality reform causes an increase of at least 0.20 standard deviations in the Misrecognition Index (MI) for low-socioeconomic-status English learners within 12 months relative to comparable control schools.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splits into: (1) critical language-policy studies that use discourse and ethnography to show how policy frames language learners but rarely quantify population-level impacts; (2) quantitative education evaluations that measure attainment gaps and use DiD or synthetic control but typically ignore classroom translanguaging and discourse; (3) corpus/NLP analyses of policy texts that map managerial language but often lack human-in-the-loop validation and fairness checks; and (4) translanguaging and multilingual classroom ethnographies that document practice but are seldom linked to administrative outcomes. Limitations: prior approaches rarely integrate ethnographic markers, admin linkage, and automated discourse measures into a single validated composite; many quantitative studies risk bias from weak donor pools or untested measurement invariance; NLP studies often lack subgroup annotation targets and adjudication protocols; and comparative or pre-registered causal work on language-policy misrecognition is scarce.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specific policy reforms (inspection regime changes or funding conditionalities) increase institutional misrecognition of low-SES English learners. We develop a Misrecognition Index (MI) that combines adjusted attainment gaps, per-pupil multilingual provision, and curriculum-breadth indicators, and an Accountability Intensity Index (AII) from automated discourse scores. Using linked administrative data, a corpus of policy documents, and ethnographic markers from school observations and stakeholder interviews, we apply quasi-experimental estimators (staggered difference-in-differences, event-study, and synthetic control where applicable) to estimate causal effects. We pre-specify aggregation, scaling, and invariance tests and include human-in-the-loop validation for discourse measures. The main contribution is a reproducible, theory-informed pipeline that quantifies misrecognition and traces mechanisms (e.g., translanguaging decline, resource shifts). Expected outcome: clear empirical estimates of policy impacts on MI, evidence on mediating school-level processes, and validated tools (MI/AII) usable by researchers and practitioners to monitor equity implications of language-in-education policy.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national administrative data: student-level cohorts, prior attainment, EAL status, FSM (free school meal) proxy, SEN flags, school identifiers, and termly assessments for at least 6 years; (b) school census: staffing, ESOL/TA hours, curriculum entries; (c) policy corpus: all national and local policy documents, guidance notes, inspection reports covering the study window; (d) ethnographic dataset: coded classroom observations, translanguaging episode counts, teacher/parent/student interview transcripts from purposively sampled low-SES schools; (e) linkage keys and consent records. Baselines: (1) control-group DiD comparing treated schools to matched controls; (2) attainment-only outcome (MI_attainment) as a measurement baseline; (3) AII-only analysis. Primary outcome: change in standardized MI (mean=0, SD=1). Secondary outcomes: MI domain scores, translanguaging frequency, curriculum breadth, AII scores. Evaluation metrics: treatment effect estimate with 95% confidence interval and p-value; Cohen's d for effect size; mediation: average causal mediation effect (ACME) and proportion mediated; NLP: AUC, precision, recall, calibration (Brier score), and subgroup error rates (absolute gaps). Experimental setup: pre-register window −36 to +36 months around reform; use Callaway &amp; Sant’Anna estimator for staggered DiD and Sun &amp; Abraham event-study for dynamics; cluster SEs at school, LA-level as sensitivity. For single-site reforms use synthetic control with donor-pool rules: exclude units with contemporaneous reforms, match on 3-year pretrend of MI components and covariates, accept donor fit if pre-treatment RMSPE ≤ 2× median donor RMSPE. Missing data: run multiple imputation by chained equations (MICE) with auxiliary variables (prior attainment, cohort, school size); record imputation diagnostics. Mediation: implement Imai mediation models with temporal alignment to ethnographic timestamps. NLP annotation: target 1,000 annotated policy documents or segments overall, minimum 100 per major subgroup (region/language ecology); double-code 20% of annotations with adjudication by senior coder. Ablations: (A) recompute MI without ethnographic-derived items and compare treatment estimates; (B) remove AII from mediation set to assess its contribution; (C) equal-weight MI vs. IRT-weighted MI. Power checks: produce subgroup power tables across ICC in {0.01,0.05,0.10} and cluster sizes range 20–100 pupils per school before analysis.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 and mapping risk: ethnographic markers are ordinal and may imperfectly map to numeric MI inputs, producing bias. Linkage bias: probabilistic or imperfect linkage between ethnography and admin records can induce selection bias. Missing data: non-random missingness in administrative or survey fields may reduce validity. Small subgroup samples: some minority-language or recent-migrant groups may have insufficient N for stable estimates or fairness metrics. Donor-pool weakness: synthetic control inference fails if adequate donors without contemporaneous reforms are unavailable. NLP bias: automated discourse models can have uneven performance across dialects or document genres, affecting AII validity. Temporal ambiguity: aligning ethnographic events to administrative mediator windows may be imprecise, limiting causal mediation claims. Generalization limits: results from sampled low-SES schools or one country (Bangladesh) may not generalize to other systems. Resource and legal limits: data access, DPIA approvals, or community consent delays can constrain sample size and timelines.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