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latent_creativity_evaluation</w:t>
      </w:r>
    </w:p>
    <w:p>
      <w:r>
        <w:t xml:space="preserve"> </w:t>
      </w:r>
    </w:p>
    <w:p>
      <w:pPr>
        <w:pStyle w:val="Heading2"/>
      </w:pPr>
      <w:r>
        <w:t>Title</w:t>
      </w:r>
    </w:p>
    <w:p>
      <w:r>
        <w:t>Latent-directed evaluation of whether opaque AI generation processes produce artifacts judged as creative by humans</w:t>
      </w:r>
    </w:p>
    <w:p>
      <w:r>
        <w:t xml:space="preserve"> </w:t>
      </w:r>
    </w:p>
    <w:p>
      <w:pPr>
        <w:pStyle w:val="Heading2"/>
      </w:pPr>
      <w:r>
        <w:t>Short Hypothesis</w:t>
      </w:r>
    </w:p>
    <w:p>
      <w:r>
        <w:t>Artifacts produced by latent-directed (opaque) AI generation will receive lower mean creativity ratings from calibrated human raters than matched human-created artifacts under the same blinded evaluation protocol.</w:t>
      </w:r>
    </w:p>
    <w:p>
      <w:r>
        <w:t xml:space="preserve"> </w:t>
      </w:r>
    </w:p>
    <w:p>
      <w:pPr>
        <w:pStyle w:val="Heading2"/>
      </w:pPr>
      <w:r>
        <w:t>Related Work</w:t>
      </w:r>
    </w:p>
    <w:p>
      <w:r>
        <w:t>Prior work splits into three strands: 1) generative models that produce artifacts (GANs, VAEs, autoregressive transformers) and associated automated novelty metrics; 2) human-subject studies that measure perceived creativity using subjective ratings and small expert panels; and 3) philosophical and theoretical analyses of creativity and authorship. Existing generative approaches can produce novel-looking outputs but they often rely on opaque internal mappings from training data to outputs (opacity means the connection between input data and output is not interpretable). Limitations are: automated novelty metrics show weak agreement with human judgments; samples and evaluators are often culturally narrow or small-scale; provenance and licensing of training items are under-documented; critics (models that predict human ratings) are rarely calibrated across subgroups; and legal/ethical governance is under-specified. These weaknesses leave open whether high novelty or machine-generated surprise counts as creativity in human terms and whether opaque dependence on human data undermines claims of creativity.</w:t>
      </w:r>
    </w:p>
    <w:p>
      <w:r>
        <w:t xml:space="preserve"> </w:t>
      </w:r>
    </w:p>
    <w:p>
      <w:pPr>
        <w:pStyle w:val="Heading2"/>
      </w:pPr>
      <w:r>
        <w:t>Abstract</w:t>
      </w:r>
    </w:p>
    <w:p>
      <w:r>
        <w:t>This study evaluates whether AI systems that generate artifacts via opaque, latent-directed processes should be considered creative by human standards. We combine three lines of analysis: (1) conceptual mapping to established philosophical definitions of creativity, (2) empirical case studies of opaque outputs, and (3) preregistered human-evaluation experiments. The empirical core uses a latent-directed search baseline (a method that searches a model’s hidden representation space to create outputs), standard generative baselines, and matched human artifacts across text, image, and music domains. We measure perceived creativity with calibrated human raters and complementary computational metrics for novelty, cluster emergence, and analogical structure. Main contributions are: a reproducible evaluation protocol linking philosophical criteria to measurable outcomes; an operational set of novelty/transformative indices explained in simple terms; and a transparency-first experimental pipeline including provenance, preregistration, and critic calibration targets. Expected outcomes are concrete evidence on whether opacity-linked AI outputs meet human judgments of creativity and a validated toolkit for future studies of artificial creativity.</w:t>
      </w:r>
    </w:p>
    <w:p>
      <w:r>
        <w:t xml:space="preserve"> </w:t>
      </w:r>
    </w:p>
    <w:p>
      <w:pPr>
        <w:pStyle w:val="Heading2"/>
      </w:pPr>
      <w:r>
        <w:t>Experiments</w:t>
      </w:r>
    </w:p>
    <w:p>
      <w:r>
        <w:t>Datasets: Project Gutenberg subset for text (public-domain works), WikiArt subset for images (items with clear licenses), MET Open Access images, MAESTRO and filtered Lakh MIDI for music. For each domain pick 200 human exemplar works and reserve 100 for held-out test. Baselines: (A) human original artifacts (ground truth); (B) standard generative models per domain (image GAN/VAE, transformer for text, RNN/transformer for music); (C) latent-directed search baseline that optimizes in model latent space to target novelty/critic objectives (latent = hidden numerical representation inside a model; search = algorithmic optimization). Adversarial set: 300 adversarial examples per domain generated by latent gradient ascent (L2 norm budget = 1.0 in normalized latent space for images/music) and constrained edit-distance ≤10 for text; include style-transfer perturbations for music. Evaluation metrics: primary = mean perceived creativity on 7-point Likert (1 low–7 high) assessed by human raters; secondary = perceived novelty, surprise, perceived authorship, forced-choice preference. Computational metrics: embedding cosine novelty (cosine distance from corpus centroid in domain embedding space; cosine distance is a measure of angle between vectors), cluster-emergence score (frequency that output forms a new cluster relative to corpus clustering), automated analogy score (structural alignment measure + semantic embedding similarity). Reliability metrics: ICC(2,k) for inter-rater agreement (ICC is a measure of consistency among raters) and critic R² when predicting mean human score. Sample size and power: design items per condition = 50; raters per item = 30 (minimum), yielding 1,500 ratings per condition; this configuration is powered to detect Cohen's d=0.30 between conditions with &gt;80% power under mixed-effects modeling assumptions. Statistical model: preregistered mixed-effects model Rating_ij ~ Condition_j + NoveltyScore_j + (1|Rater_i) + (1|Item_j) + (Condition|Rater_i). Multiple comparisons: Holm-Bonferroni for primary contrasts; exploratory sets use Benjamini-Hochberg. Interim analysis: single interim at 50% using O'Brien-Fleming alpha-spending (two-sided α=0.05); stop for futility if conditional power &lt;0.20. Calibration and training: mandatory 2-hour rater calibration with 30 practice artifacts and weekly drift checks. Ablations: (1) remove embedding novelty term from latent search objective; (2) vary novelty/cluster/analogy composite weights (0.4/0.3/0.3 vs 0.6/0.2/0.2 vs 0.2/0.4/0.4) to measure sensitivity; (3) compare critic-assisted latent search vs pure latent random sampling. Validation: adversarial examples included only after 4/5 expert validation consensus; critics must meet preregistered thresholds (ICC≥0.70 and R²≥0.50) before use in main runs.</w:t>
      </w:r>
    </w:p>
    <w:p>
      <w:r>
        <w:t xml:space="preserve"> </w:t>
      </w:r>
    </w:p>
    <w:p>
      <w:pPr>
        <w:pStyle w:val="Heading2"/>
      </w:pPr>
      <w:r>
        <w:t>Risk Factors And Limitations</w:t>
      </w:r>
    </w:p>
    <w:p>
      <w:r>
        <w:t>Technical failure modes: critics may fail to predict human judgments (low R²), making automated search objectives misaligned with human perception; embedding-based novelty may not match perceived novelty across cultures. Data and evaluation biases: training sets may under-represent non-Western cultural artifacts despite quotas, causing representational harm and skewed judgments; human rater panels may drift or fail to reach ICC targets. Legal and provenance constraints: ambiguous licenses or restricted items can force exclusions and reduce dataset coverage. Adversarial risks: adversarially optimized artifacts may deceive raters or create plausible impersonations of protected styles. Scalability and compute: latent-directed search and critic training can require large GPU budgets and increase carbon emissions (high energy use). Generalization limits: results may not generalize beyond selected domains, datasets, or cultural contexts, and philosophical conclusions about creativity may not transfer from lab ratings to broader social acceptance. Measurement limits: Likert ratings capture perceived creativity but cannot fully capture long-term cultural impact or transformative value.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