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social_cohesion_africa_measurement</w:t>
      </w:r>
    </w:p>
    <w:p>
      <w:r>
        <w:t xml:space="preserve"> </w:t>
      </w:r>
    </w:p>
    <w:p>
      <w:pPr>
        <w:pStyle w:val="Heading2"/>
      </w:pPr>
      <w:r>
        <w:t>Title</w:t>
      </w:r>
    </w:p>
    <w:p>
      <w:r>
        <w:t>Psychometric validation and spatial analysis of a vignette-anchored social cohesion instrument for Nigeria, Kenya, and South Africa</w:t>
      </w:r>
    </w:p>
    <w:p>
      <w:r>
        <w:t xml:space="preserve"> </w:t>
      </w:r>
    </w:p>
    <w:p>
      <w:pPr>
        <w:pStyle w:val="Heading2"/>
      </w:pPr>
      <w:r>
        <w:t>Short Hypothesis</w:t>
      </w:r>
    </w:p>
    <w:p>
      <w:r>
        <w:t>Embedding vignette-anchored threshold adjustments into a combined CFA (confirmatory factor analysis) and GRM (graded response model) scoring pipeline will produce metric invariance across Nigeria, Kenya, and South Africa and improve prediction of subnational governance and conflict indicators relative to unanchored, sum-score baselines.</w:t>
      </w:r>
    </w:p>
    <w:p>
      <w:r>
        <w:t xml:space="preserve"> </w:t>
      </w:r>
    </w:p>
    <w:p>
      <w:pPr>
        <w:pStyle w:val="Heading2"/>
      </w:pPr>
      <w:r>
        <w:t>Related Work</w:t>
      </w:r>
    </w:p>
    <w:p>
      <w:r>
        <w:t>Existing work measures social cohesion with diverse indicators (trust, identity, cooperation) using single-item proxies, summed indices, or expert ratings. National surveys like Afrobarometer provide household-level attitudes (trust in institutions, belonging), while expert datasets such as V-Dem supply institutional quality and governance covariates. Prior psychometric approaches often apply CFA or IRT separately but rarely combine vignette anchoring with IRT–CFA linking to correct response-style bias. Spatial analyses of cohesion are frequently descriptive and lack standardized privacy-preserving geomasking rules. Limitations in current methods include weak cross-country comparability due to response-style differences, limited triangulation between household and expert data, inconsistent invariance testing, insufficient treatment of vignette calibration, and lack of transparent synthetic-data and privacy thresholds for public release.</w:t>
      </w:r>
    </w:p>
    <w:p>
      <w:r>
        <w:t xml:space="preserve"> </w:t>
      </w:r>
    </w:p>
    <w:p>
      <w:pPr>
        <w:pStyle w:val="Heading2"/>
      </w:pPr>
      <w:r>
        <w:t>Abstract</w:t>
      </w:r>
    </w:p>
    <w:p>
      <w:r>
        <w:t>We present a focused protocol to operationalize and validate a short, vignette-anchored instrument measuring social cohesion in Africa along three attributes: inclusive identity, trust, and cooperation, each examined on horizontal and vertical axes. Using household responses from Afrobarometer and country-level expert measures from V-Dem, we combine confirmatory factor analysis (CFA) with graded response IRT (item response theory) and vignette-based threshold adjustment to reduce response-style bias and enable cross-country comparisons. Spatial layers and geomasked coordinates support subnational hotspot detection. Main contributions are: (1) a reproducible psychometric pipeline (EFA→CFA→invariance→DIF→IRT–CFA linking), (2) vignette anchoring integrated into scoring to improve comparability, and (3) a policy-ready indicator set with predefined fit and reliability targets (e.g., CFI≥0.95, ω≥0.70). Expected outcomes include empirically comparable cohesion scores across Nigeria, Kenya, and South Africa and spatially actionable maps for policy while maintaining participant privacy.</w:t>
      </w:r>
    </w:p>
    <w:p>
      <w:r>
        <w:t xml:space="preserve"> </w:t>
      </w:r>
    </w:p>
    <w:p>
      <w:pPr>
        <w:pStyle w:val="Heading2"/>
      </w:pPr>
      <w:r>
        <w:t>Experiments</w:t>
      </w:r>
    </w:p>
    <w:p>
      <w:r>
        <w:t>Datasets: Afrobarometer respondent-level data for Nigeria, Kenya, South Africa (most recent comparable rounds); V-Dem country-year indicators for governance; subnational administrative outcomes (service delivery, conflict incidents) where available. Preprocessing: harmonize item coding, apply language translations, embed three anchor vignettes into respondent records, geomask coordinates (urban 0.5–2 km, rural 2–10 km). Baselines: (A) single-item trust proxies (e.g., trust in national government), (B) unanchored summed 25-item index, (C) CFA-only factor scores without IRT linking. Main pipeline: EFA on polychoric correlations (parallel analysis, oblique rotation); CFA using WLSMV (ordinal estimator) with fit targets CFI≥0.95 RMSEA≤0.06 SRMR≤0.08; IRT GRM estimated by marginal maximum likelihood (MML) with EAP scoring. DIF and anchoring tests: MIMIC models, ordinal logistic regression, IRT-LR tests; vignette thresholds estimated via hierarchical ordered probit and used to rescale respondent thresholds prior to DIF. IRT–CFA linking: identify ≥3 invariant anchor items per dimension; perform concurrent calibration and two-step linking and compare results. Predictive validity: regressions (multilevel models) of cohesion scores on subnational service delivery and conflict outcomes; report R² change, AIC, and area under ROC where binary. Spatial evaluation: Moran's I and LISA cluster detection; evaluate concordance between cohesion hotspots and administrative outcomes via spatial overlap metrics. Ablations: (1) remove vignette anchoring, (2) use sum-score instead of IRT/CFA linking, (3) vary geomasking distances and compute information loss (ΔR²) and re-identification risk. Evaluation metrics: model fit (CFI, RMSEA, SRMR), reliability (omega ω), IRT discrimination (a-parameters), DIF effect sizes, predictive R²/AUC, spatial clustering significance (p-values), synthetic-data utility (pMSE, KL divergence) and disclosure risk (re-identification probability). Setup details: stratified clustered samples targeting ~1,500 respondents/country with panel subsample ~600; software: R (lavaan, mirt), Mplus optional; set random seeds and publish simulation code and seeds in preregistration. Decision thresholds: flag items loading&lt;0.40 or a&lt;0.65; require ω≥0.70 for core scale and metric invariance across ≥2 countries for policy comparability.</w:t>
      </w:r>
    </w:p>
    <w:p>
      <w:r>
        <w:t xml:space="preserve"> </w:t>
      </w:r>
    </w:p>
    <w:p>
      <w:pPr>
        <w:pStyle w:val="Heading2"/>
      </w:pPr>
      <w:r>
        <w:t>Risk Factors And Limitations</w:t>
      </w:r>
    </w:p>
    <w:p>
      <w:r>
        <w:t>Measurement risks: vignette misinterpretation across languages can bias threshold corrections (vignette anchoring relies on respondents reading and rating short scenarios consistently). Response-style bias: extreme or midpoint preferences may persist despite anchoring. Invariance limits: widespread noninvariance may prevent valid cross-country mean comparisons; results may only support relative within-country analyses. Sampling and attrition: high panel attrition or nonresponse in mobile/displaced groups reduces longitudinal power and biases estimates. Data biases: Afrobarometer household sampling frames may underrepresent certain subpopulations (e.g., refugees, remote rural). Privacy and utility tradeoffs: stronger geomasking and higher k-anonymity reduce disclosure risk but degrade spatial resolution and analytic power. Synthetic data limits: model-based microdata can fail to preserve complex joint distributions, reducing external validity. Computational constraints: IRT and alignment procedures at scale are compute-intensive for large pooled datasets. Causal limits: associations between cohesion scores and governance outcomes are observational and may not imply causation. Generalization: instrument validated in three countries may not generalize across all African contexts without further adaptation and testing.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