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effort_resistance_phenomenology</w:t>
      </w:r>
    </w:p>
    <w:p>
      <w:r>
        <w:t xml:space="preserve"> </w:t>
      </w:r>
    </w:p>
    <w:p>
      <w:pPr>
        <w:pStyle w:val="Heading2"/>
      </w:pPr>
      <w:r>
        <w:t>Title</w:t>
      </w:r>
    </w:p>
    <w:p>
      <w:r>
        <w:t>Multimodal hierarchical Bayesian testing of the hypothesis that subjective effort arises from resisting affective behavior-guiding signals</w:t>
      </w:r>
    </w:p>
    <w:p>
      <w:r>
        <w:t xml:space="preserve"> </w:t>
      </w:r>
    </w:p>
    <w:p>
      <w:pPr>
        <w:pStyle w:val="Heading2"/>
      </w:pPr>
      <w:r>
        <w:t>Short Hypothesis</w:t>
      </w:r>
    </w:p>
    <w:p>
      <w:r>
        <w:t>When an agent actively resists a directed affective behavior-guiding signal (for example hunger, pain, fatigue, anxiety, or temptation), reported subjective effort increases proportionally and this increase is predicted by concurrent autonomic (pupil dilation, heart-rate variability) and neural (EEG theta/ERP) markers.</w:t>
      </w:r>
    </w:p>
    <w:p>
      <w:r>
        <w:t xml:space="preserve"> </w:t>
      </w:r>
    </w:p>
    <w:p>
      <w:pPr>
        <w:pStyle w:val="Heading2"/>
      </w:pPr>
      <w:r>
        <w:t>Related Work</w:t>
      </w:r>
    </w:p>
    <w:p>
      <w:r>
        <w:t>Existing approaches explain effort either as a signal of cost or opportunity cost (models that treat effort as a negative quantity to be minimized) or as rising from task demands measured by performance or time-on-task. Other lines use physiological markers (pupil size, HRV, skin conductance) and neural signatures (EEG theta, ACC/dmPFC BOLD) to index cognitive load and control. Experience-sampling (EMA) studies measure momentary effort but often lack dense multimodal alignment and suffer probe-reactivity and missing-data biases. Computational models such as reinforcement-learning (RL), drift-diffusion models (DDM), and hidden Markov / dynamic structural equation models (HMM/DSEM) can capture latent states but are often weakly identified with sparse ambulatory data. Psychometric methods (multilevel IRT/CFA) provide state/trait decomposition but are rarely integrated with temporally precise physiology or with privacy-preserving timestamping. Limitations: cost-based accounts do not directly predict phenomenology of resisting signals; ambulatory identifiability of RL/DDM parameters is unresolved; probe-reactivity and MNAR missingness remain under-addressed; synchronization and de-identification trade-offs for high-resolution data are not standardized.</w:t>
      </w:r>
    </w:p>
    <w:p>
      <w:r>
        <w:t xml:space="preserve"> </w:t>
      </w:r>
    </w:p>
    <w:p>
      <w:pPr>
        <w:pStyle w:val="Heading2"/>
      </w:pPr>
      <w:r>
        <w:t>Abstract</w:t>
      </w:r>
    </w:p>
    <w:p>
      <w:r>
        <w:t>We test a unified account that the subjective experience of effort arises when agents resist directed, valenced, behavior-guiding signals (e.g., hunger, pain, fatigue, temptation), rather than simply from abstract cost signals. We combine ecological momentary assessment (EMA), wearable physiology (pupilometry, ECG, skin conductance, respiration), laboratory EEG, and computational modeling within a hierarchical Bayesian framework. Main contributions are: (1) a preregistered multimodal measurement protocol with dense and sparse probe schedules, (2) explicit priors and prior-predictive checks for confirmatory parameters, (3) simulations and parameter-recovery for RL/DDM/HMM models in ambulatory bursts, and (4) reproducible pipelines and a timestamp-offset SOP that preserve analysis-alignment while protecting privacy. Expected outcomes are reproducible evidence linking resistance to affective signals with increased subjective effort and convergent autonomic/neural markers, validated psychometric short-forms for momentary effort, and clear identifiability limits for computational parameters in ambulatory designs. Results will inform mechanistic theories of effort and provide operational thresholds for translational research.</w:t>
      </w:r>
    </w:p>
    <w:p>
      <w:r>
        <w:t xml:space="preserve"> </w:t>
      </w:r>
    </w:p>
    <w:p>
      <w:pPr>
        <w:pStyle w:val="Heading2"/>
      </w:pPr>
      <w:r>
        <w:t>Experiments</w:t>
      </w:r>
    </w:p>
    <w:p>
      <w:r>
        <w:t>Datasets: (a) pilot ambulatory EMA cohort N=60 participants × 50 probes per person (dense lab pilot N≈30 with 20–40 s probes; ambulatory sparse N≈60 with 3–6 probes/day plus 2–4 bursts/day), (b) exploratory minimum cohort N=30×50, (c) EEG lab subsample N≈50 (time-resolved EEG), (d) optional EEG+fMRI subsample N≈20–30 for feasibility. Baselines: (1) cost/opportunity-cost model treating effort as a negative cost parameter, (2) null no-resistance model predicting effort only from objective demand, (3) phenomenology model predicting effort from resistance indicator (probed), (4) ablation models that remove physiology or neural inputs. Evaluation metrics: within-person standardized effect size (d), power and coverage, parameter recovery bias and RMSE, posterior credible-interval width, LOO-IC / WAIC for model comparison (lower is better), Bayes factor for directional tests, G-coefficient for within-person reliability (target G≥0.70), ΔCFI and likelihood-ratio test for measurement invariance, ROC and PR-AUC for clinical threshold calibration (predicting functional impairment). Experimental setup: run simulation grid Participants={30,60,120} × Probes/person={20,50,100} with ICC∈[0.10,0.50], AR(1) noise φ∈[0.0,0.4], missingness MCAR/MAR rates 10–40% and MNAR patterns linked to recent high-effort reports. EMA schedules: dense lab (time-contingent 20–40 s jittered + event probes) and sparse ambulatory (3–6 random/day + bursts 30–60 s probes). Randomized ABAB probe-reactivity arm: no-probe vs sparse vs dense between-subjects; within-subject ABAB blocks for reactivity. Analysis pipelines: hierarchical Bayesian multilevel IRT/CFA for psychometrics (state/trait decomposition), hierarchical RL and DDM fits (confirmatory priors for gamma, allocation threshold, drift v, threshold a, t0), HMM/DSEM for latent high-effort states and change-point detection, and multimodal fusion models predicting momentary effort from physiology and behavior. Ablation study: compare full multimodal model vs model without physiological features to measure added predictive value (ΔLOO-IC, ΔR2). Pre-registered checks: prior predictive simulations, stopping rules based on CI-width trajectories, and MNAR sensitivity analyses (pattern-mixture and selection-model variants).</w:t>
      </w:r>
    </w:p>
    <w:p>
      <w:r>
        <w:t xml:space="preserve"> </w:t>
      </w:r>
    </w:p>
    <w:p>
      <w:pPr>
        <w:pStyle w:val="Heading2"/>
      </w:pPr>
      <w:r>
        <w:t>Risk Factors And Limitations</w:t>
      </w:r>
    </w:p>
    <w:p>
      <w:r>
        <w:t>Identifiability: RL and DDM parameters may be weakly identified in sparse ambulatory bursts, producing biased or imprecise estimates. Probe-reactivity: dense probing can change reported effort and behavior, confounding measures. Missing data: MNAR patterns tied to high-effort states can bias estimates and complicate imputation. EEG–fMRI: simultaneous acquisition reduces EEG SNR and increases artifacts; small fMRI subsamples limit statistical power. Synchronization vs privacy: timestamp random offsets for de-identification can complicate precise event-locking unless offsets are securely managed. Sample-size limits: multigroup invariance tests and DIF detection may require larger samples than available, limiting subgroup inference. Generalization: findings may not apply to all affective signals, cultures, or task domains outside those sampled. Compute and storage: multimodal, high-frequency data and hierarchical Bayesian models demand substantial compute and storage resources, limiting scalability. Ethical/legal: controlled-access policies and cross-jurisdictional data rules may restrict data sharing and replication.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