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history_therapy_rhat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randomized controlled trial of a structured History Therapy intervention using curated archival worldviews to improve meaning-making and psychological well-being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10-session History Therapy intervention causes greater improvement in WHO-5 well-being scores at post-treatment compared with an attention-control condition, and this effect is mediated by increases in Historical Coherence and Agency measured by the HCA scale.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that target meaning and narrative identity include narrative therapy and re-authoring, life-review and reminiscence interventions, expressive writing, and therapies that strengthen autobiographical memory coherence. These methods show that guided reflection on past events can improve well-being, but they typically (1) do not integrate curated historical or archival worldviews as structured exposure material; (2) lack replicable, session-by-session procedures for archival search, provenance noting, and participant authorship facilitation; (3) provide limited measurement tools for historical coherence and agency tied to archival work; and (4) rarely operationalize data sovereignty, consent tiers, or controlled-access workflows for sensitive third-party materials. As a result, prior methods leave open how systematic exposure to alternative historical frames alters narrative coherence, agency, and downstream well-being across diverse cultural groups.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Problem: Many people seeking deeper meaning and identity change find that typical therapies do not systematically situate personal narratives within broader historical contexts. Approach: We test History Therapy, a structured 10-session method that pairs curated historical worldviews and archival artifacts with trauma-informed therapeutic techniques to prompt self-reflection, authorship, and new meaning-making. Contribution: We provide a preregistered protocol to evaluate whether History Therapy increases psychological well-being (WHO-5) and whether change is mediated by a new Historical Coherence &amp; Agency (HCA) measure. The study includes fidelity metrics, safety checks, and tiered consent for archival materials. Expected outcome: If effective, History Therapy will produce larger well-being gains than an attention-control intervention and show mediation by increased HCA scores, demonstrating that structured historical framing can be a mechanism for meaning-based clinical change. This work clarifies measurable processes for integrating historical knowledge into therapeutic practice.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Design: Two-arm, assessor-blinded randomized controlled trial (RCT). Arms: (A) History Therapy (10 weekly 50–75 min sessions following the session-by-session protocol), (B) attention-control supportive sessions matched for time and therapist contact without archival exposure. Sample: adults &gt;=18, outpatient-stable; Phase 1 feasibility n=30-40; definitive efficacy target n≈160 total (80 per arm) to allow for 20% attrition (see power notes). Recruitment quotas: Indigenous ~25%, immigrant/refugee ~20%, LGBTQ+ ~20% to test subgroup data. Timepoints: baseline (pre), mid-treatment (session 5), post-treatment (2 weeks after session 10 primary endpoint), follow-ups at 3 and 6 months. Outcomes and metrics: Primary outcome = WHO-5 (well-being). Secondary = PHQ-9, GAD-7, MLQ-P (meaning presence), PROMIS Self-Efficacy. Mediator = HCA scale (Historical Coherence &amp; Agency) scored continuous. Safety metrics = C-SSRS item flags, adverse events, session-level distress ratings. Fidelity metrics = 8-item fidelity bank scored 0-2; target ICC &gt;= .75. Baselines for comparison: attention-control, and two ablations within the intervention arm randomized sub-samples: (1) HT minus archival exposure (authorship + therapists only), (2) HT minus authorship facilitation (archival exposure without explicit authorship scaffolding). Analysis models: primary analysis uses linear mixed-effects model (LME) for repeated measures: WHO5_ij = β0 + β1*time_j + β2*group_i + β3*time_j*group_i + β4*covariates + u0i + u1i*time_j + e_ij, where i=participant, j=time; u0i random intercept, u1i random slope. Fixed covariates include baseline WHO-5, age, gender, and site. Intent-to-treat (ITT) is primary; per-protocol secondary. Missing-data handling: full-information maximum likelihood (FIML) as primary; multiple imputation (MI) as sensitivity. Mediation: multilevel mediation via multilevel structural equation modeling (MSEM) with time-ordered paths baseline→mid→post; report indirect effect and bootstrap CI. Psychometrics: pilot HCA in Phase 1 for item clarity, then EFA (n&gt;=200) and CFA (n&gt;=300) in pooled samples; report reliability (omega/alpha), test-retest ICC, IRT item parameters (discrimination, difficulty) for eventual scale refinement. Power notes (two-arm continuous outcome, alpha=0.05, power=0.80, two-sided): for d=0.50 require ≈64 per arm (128 total) before attrition; for d=0.40 require ≈100 per arm (200 total); for d=0.30 require ≈176 per arm (352 total). Mediation power: for a mediator with moderate paths (a and b ~0.30 each) expect required total N ≈ 200-400 for 0.80 power depending on ICC and measurement reliability; treat these as planning targets. One ablation comparison: test group differences (HT vs HT-minus-archival) using same LME and compare HCA changes to isolate archival exposure effect. Safety and fidelity monitoring: weekly fidelity sampling (double-code 20% until ICC &gt;= .75) and immediate reporting for any C-SSRS positive plan or SAE.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and measurement: HCA is a new scale; small Phase 1 samples can give unstable psychometric estimates and IRT parameters. Cross-language measurement bias: translations may not be equivalent, limiting comparisons across language groups. Sample and generalization: phased samples with quotas may still be unrepresentative; results may not generalize to inpatient, actively psychotic, or severely cognitively impaired populations. Safety and harm: archival exposure can retraumatize participants and produce adverse events concentrated in small subgroups; repeated distress may reduce retention. Data governance and legal: contested narratives and third-party archival materials raise data-sovereignty and legal removal obligations that can delay dissemination. Statistical risks: clustering by therapist or site (ICC) can reduce effective sample size; underestimating ICC will lower power. Operational risks: recruitment shortfalls, interpreter shortages, and vendor delays for History Studio storage can impede timelines. Scalability: therapist training, fidelity maintenance, and CAB oversight increase cost and may limit rapid scale-up. Compute/storage: secure encrypted hosting for archival artifacts increases platform costs but is required for consent enforcement and revocation; these costs can constrain budgets.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