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pygmalion_ai_cultural_narratives</w:t>
      </w:r>
    </w:p>
    <w:p>
      <w:r>
        <w:t xml:space="preserve"> </w:t>
      </w:r>
    </w:p>
    <w:p>
      <w:pPr>
        <w:pStyle w:val="Heading2"/>
      </w:pPr>
      <w:r>
        <w:t>Title</w:t>
      </w:r>
    </w:p>
    <w:p>
      <w:r>
        <w:t>Time-varying mediation and multilingual narrative analysis of how cultural narratives and regulatory policies causally affect AI developer behavior and model safety outcomes</w:t>
      </w:r>
    </w:p>
    <w:p>
      <w:r>
        <w:t xml:space="preserve"> </w:t>
      </w:r>
    </w:p>
    <w:p>
      <w:pPr>
        <w:pStyle w:val="Heading2"/>
      </w:pPr>
      <w:r>
        <w:t>Short Hypothesis</w:t>
      </w:r>
    </w:p>
    <w:p>
      <w:r>
        <w:t>Randomized exposure of developer teams to optimistic cultural narratives (vs. neutral narratives) increases risk-taking behaviors, which causally raises safety-critical failure rates of deployed models by at least 10% within three months.</w:t>
      </w:r>
    </w:p>
    <w:p>
      <w:r>
        <w:t xml:space="preserve"> </w:t>
      </w:r>
    </w:p>
    <w:p>
      <w:pPr>
        <w:pStyle w:val="Heading2"/>
      </w:pPr>
      <w:r>
        <w:t>Related Work</w:t>
      </w:r>
    </w:p>
    <w:p>
      <w:r>
        <w:t>Prior work splits into three streams: (1) studies that detect and classify cultural narratives about AI using NLP but are largely cross-sectional and monolingual, (2) social-psychology and STS work documenting expectation effects (e.g., Pygmalion and Golem) but usually at individual or historical case-study level without direct linkage to engineering telemetry, and (3) causal-inference methods for mediation and time-varying treatments that provide theoretical tools but are rarely applied to sociotechnical developer behavior with longitudinal telemetry. Limitations in current approaches include lack of longitudinal, time-resolved causal identification; weak connections between narrative indices and concrete developer actions or model safety metrics; poor coverage of low-resource languages and registers; insufficient privacy-aware release and reproducibility pipelines; and limited translation of effect sizes into policy triggers. These gaps leave unresolved whether and how cultural narratives produce measurable harms in AI system performance across contexts.</w:t>
      </w:r>
    </w:p>
    <w:p>
      <w:r>
        <w:t xml:space="preserve"> </w:t>
      </w:r>
    </w:p>
    <w:p>
      <w:pPr>
        <w:pStyle w:val="Heading2"/>
      </w:pPr>
      <w:r>
        <w:t>Abstract</w:t>
      </w:r>
    </w:p>
    <w:p>
      <w:r>
        <w:t>This study tests whether cultural narratives and regulatory signals causally shape AI development trajectories via developer psychology and behavior. We combine multilingual narrative measurement (NLP annotation and classifiers), randomized and quasi-experimental manipulations of narrative exposure to developer teams, frequent experience-sampling of psychological mediators, time-stamped telemetry of development actions (commits, compute use, experiments), and longitudinal model-safety evaluation. Main contribution: a pre-registered time-varying mediation framework that links narrative indices to mediators (self-efficacy, risk propensity), to behavioral mediators, and finally to safety outcomes, with sensitivity analyses and policy-trigger maps. Expected outcome: quantified causal paths, domain-calibrated thresholds where narrative-driven shifts produce meaningful safety risks, and audit-ready indicators for policy translation. The design emphasizes reproducibility (containerized pipelines, fixed seeds), cross-cultural validity (multilingual annotation quotas), and privacy-aware release tiers. Results will clarify when narratives produce beneficial motivation versus harmful overconfidence, enabling evidence-based governance recommendations.</w:t>
      </w:r>
    </w:p>
    <w:p>
      <w:r>
        <w:t xml:space="preserve"> </w:t>
      </w:r>
    </w:p>
    <w:p>
      <w:pPr>
        <w:pStyle w:val="Heading2"/>
      </w:pPr>
      <w:r>
        <w:t>Experiments</w:t>
      </w:r>
    </w:p>
    <w:p>
      <w:r>
        <w:t>Datasets: (a) Multilingual corpus: 200k documents total across news, policy texts, film scripts, corporate communications, and developer forums in English, Mandarin, Spanish, Portuguese, Hindi, Arabic, and two low-resource languages; for each low-resource language collect ≥5k documents. (b) Developer telemetry: commits, issue activity, CI runs, model checkpoints, compute-hours from partner teams (timestamped). (c) Lab RCT data: 6–8 pilot teams/condition; main stepped-wedge cluster trial with 20–40 organizational clusters, cluster size m≈8 developers. Annotation: minimum three native annotators per language; for low-resource languages at least 500 double-annotated items; target Krippendorff's α ≥ 0.70 (Krippendorff's alpha measures agreement between annotators). Baselines: lexicon-based frame detector; multilingual BERT fine-tuned classifier; document-level topic models. Experimental arms: optimistic-narrative exposure, threat-narrative exposure, neutral control, and policy-signal condition (explicit regulatory text). Randomization: team-level random assignment where ethical; otherwise encouragement designs (incentivized exposure) or stepped-wedge rollouts. Metrics: narrative classifier F1 and calibration; mediator measures: self-efficacy scale mean, risk-propensity scale mean; behavioral metrics: commits/week, experiments/week, compute-hours; model safety metrics: recall (safety class), false-negative rate (FNR), Expected Calibration Error (ECE), out-of-distribution (OOD) performance drop. Pre-specified catastrophic thresholds: safety recall &lt;85%, FNR &gt;5%, ECE &gt;0.10, OOD drop &gt;20%. Causal analysis: estimate average causal mediation effects (ACME) and direct effects using time-varying mediation models (multilevel SEM / cross-lagged panel); report bootstrap 95% confidence intervals. Power and sample targets: pilot to estimate ICCs; example calculation: for d=0.40, unclustered N≈200/arm; with m=8, ICC=0.05, DE≈1.35 → adjusted N≈270/arm. Ablations: (1) remove narrative index from mediation pipeline to test direct vs mediated paths; (2) compare time-invariant mediation model vs time-varying model; (3) DP ablation: add differential privacy noise at epsilons {0.1,0.5,1,2,4} to aggregates and measure bias on ACME estimates. Reproducibility: containerized code, fixed seeds, preregistered analysis plan, and versioned data splits.</w:t>
      </w:r>
    </w:p>
    <w:p>
      <w:r>
        <w:t xml:space="preserve"> </w:t>
      </w:r>
    </w:p>
    <w:p>
      <w:pPr>
        <w:pStyle w:val="Heading2"/>
      </w:pPr>
      <w:r>
        <w:t>Risk Factors And Limitations</w:t>
      </w:r>
    </w:p>
    <w:p>
      <w:r>
        <w:t>Technical failure modes: narrative classifiers may mislabel subtle or sarcastic frames, causing measurement error; mediation estimates may be biased by unmeasured time-varying confounders. Data and evaluation biases: corpora skew toward English and public media; developer telemetry may represent a non-random convenience sample. Translation drift: back-translation may miss register-specific meanings, reducing comparability across languages. Annotation limits: three annotators may be insufficient for high-context languages leading to low reliability on some frames. Scalability and compute: fine-tuning multilingual models and processing telemetry at scale require significant GPU hours (estimate 50–150 GPU-hrs/language plus ~1,000 GPU-hr contingency). Differential privacy tradeoffs: DP noise may reduce statistical power and bias mediation estimates at small epsilon values. Generalization limits: findings from sampled organizations, domains, or countries may not transfer to other sectors or governance regimes. Ethical/legal constraints: cross-jurisdiction data residency, consent, and Indigenous data sovereignty requirements may restrict data access and reduce sample sizes. Operational risks: annotator attrition, cluster dropout, and higher-than-expected ICCs can reduce effective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