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peircean_semiosis_grounding</w:t>
      </w:r>
    </w:p>
    <w:p>
      <w:r>
        <w:t xml:space="preserve"> </w:t>
      </w:r>
    </w:p>
    <w:p>
      <w:pPr>
        <w:pStyle w:val="Heading2"/>
      </w:pPr>
      <w:r>
        <w:t>Title</w:t>
      </w:r>
    </w:p>
    <w:p>
      <w:r>
        <w:t>Peircean semiosis-based interpretant decoders for diagnosing the hall-of-mirrors problem in large language models</w:t>
      </w:r>
    </w:p>
    <w:p>
      <w:r>
        <w:t xml:space="preserve"> </w:t>
      </w:r>
    </w:p>
    <w:p>
      <w:pPr>
        <w:pStyle w:val="Heading2"/>
      </w:pPr>
      <w:r>
        <w:t>Short Hypothesis</w:t>
      </w:r>
    </w:p>
    <w:p>
      <w:r>
        <w:t>Adding deterministic Peircean interpretant decoders (a proposition probability vector and a small belief graph), trained on human-labelled referents and used in activation-patching interventions, causes a ≥10% relative increase in sign–grounding mutual information (SGI) and a ≥15% relative decrease in hallucination rate versus a vanilla language model on held-out grounded contexts.</w:t>
      </w:r>
    </w:p>
    <w:p>
      <w:r>
        <w:t xml:space="preserve"> </w:t>
      </w:r>
    </w:p>
    <w:p>
      <w:pPr>
        <w:pStyle w:val="Heading2"/>
      </w:pPr>
      <w:r>
        <w:t>Related Work</w:t>
      </w:r>
    </w:p>
    <w:p>
      <w:r>
        <w:t>Existing work treats large language models as statistical text predictors and uses probing, causal interventions (activation patching), mutual-information estimators, and grounding heads to study internal representations. Prior probing methods show where information is encoded but cannot by themselves prove that model outputs are indexically grounded (tied to real-world referents). Activation patching can provide causal evidence but relies on assumptions about the completeness and specificity of patched subspaces. Mutual-information estimators such as InfoNCE are useful but biased and require careful calibration; MINE can be high-variance. Prior grounding efforts often lack pre-registered synthetic generators, explicit Peircean interpretant schemas, deterministic S→I mappings, and alarm/decision protocols to detect echoic or auto-conditioned failures. These gaps leave unresolved whether observed alignments are true semiosis (indexical grounding) or merely echoic mimicry of training-surface patterns.</w:t>
      </w:r>
    </w:p>
    <w:p>
      <w:r>
        <w:t xml:space="preserve"> </w:t>
      </w:r>
    </w:p>
    <w:p>
      <w:pPr>
        <w:pStyle w:val="Heading2"/>
      </w:pPr>
      <w:r>
        <w:t>Abstract</w:t>
      </w:r>
    </w:p>
    <w:p>
      <w:r>
        <w:t>We address the 'hall-of-mirrors' failure mode in large language models, where models echo surface language without genuine, indexical grounding in external referents. We propose operationalizing Peircean semiosis by adding deterministic interpretant decoders that map internal sign representations (S) and context (C) to human-comparable interpretants (I): (1) a proposition probability vector for deictic grounding, and (2) a compact belief graph for narrative intent. We evaluate whether these interpretants increase measurable grounding and reduce hallucination via both observational metrics (SGI, calibration, KL to human I) and causal interventions (activation patching as an approximate do(S_subspace)). Main contributions are (a) pre-registered, synthetic-data generative models and power simulations to justify thresholds, (b) concrete decoder architectures and evaluation metrics for Peircean interpretants, and (c) alarm definitions and pre-specified analysis rules to flag echoic failures. Expected outcome: a reproducible testbed that distinguishes true semiotic grounding from echoic mimicry and produces quantitative evidence about whether Peircean interpretants improve alignment-relevant grounding.</w:t>
      </w:r>
    </w:p>
    <w:p>
      <w:r>
        <w:t xml:space="preserve"> </w:t>
      </w:r>
    </w:p>
    <w:p>
      <w:pPr>
        <w:pStyle w:val="Heading2"/>
      </w:pPr>
      <w:r>
        <w:t>Experiments</w:t>
      </w:r>
    </w:p>
    <w:p>
      <w:r>
        <w:t>Datasets: synthetic GRD generator (released code) producing paired (O, C) and human I with controllable confounders; pilot real-data GRD of 20k paired (O,C) examples and a conservative set of 50k examples. Models and baselines: train transformer LMs of ~6M and ~12M parameters. Baselines: (A) vanilla LM; (B) LM + grounding head predicting O; (C) LM + interpretant decoder (two decoders: linear softmax probe over K∈{10,20,50} propositions and a bipartite graph decoder for belief graphs). Training curriculum: Phase1 supervised S+C→I (cross-entropy), Phase2 contrastive InfoNCE refinement (temperature sweep τ∈{0.05,0.1,0.2,0.5,1.0}), Phase3 joint LM+I multitask finetune with L = L_LM + λL_I and λ∈{0.1,0.5,1.0}. Causal test: activation patching do(S_subspace) interventions to force S_subspace to values corresponding to alternative O; include placebo patches (permutation of O) as negative controls. Mutual-information and estimators: compute SGI = I(I;O|model_context) estimates using InfoNCE with bias-correction and MINE as sensitivity check; bootstrap n_boot=200 for 95% CIs. Metrics: SGI (mutual information; higher is better), probe accuracy, calibration (ECE; lower better), KL(I_human||I_model), belief-graph metrics (node/edge F1, edge-direction accuracy), hallucination rate (fraction of outputs asserting false facts about O), and alarm ratios (MI(I;C)/MI(I;O)). Experimental setup: for each condition run seeds≥5 (confirmatory ≥10), train 50k–200k gradient steps, pre-register power targets to detect ≥10% SGI change and ≥15% hallucination drop. Ablations: remove contrastive Phase2; replace InfoNCE with MINE; vary proposition set size K; compare activation patching versus observational mediation analysis. Reporting: pre-registered primary endpoints (ΔSGI, Δhallucination, ACE_O→I) with Holm FWER control for primaries and BH-FDR for exploratory metrics.</w:t>
      </w:r>
    </w:p>
    <w:p>
      <w:r>
        <w:t xml:space="preserve"> </w:t>
      </w:r>
    </w:p>
    <w:p>
      <w:pPr>
        <w:pStyle w:val="Heading2"/>
      </w:pPr>
      <w:r>
        <w:t>Risk Factors And Limitations</w:t>
      </w:r>
    </w:p>
    <w:p>
      <w:r>
        <w:t>Estimator bias and variance: InfoNCE provides a biased lower bound on mutual information and MINE may be unstable; both can give misleading SGI if not calibrated. Simulation mismatch: synthetic generators may not capture real-world confounders such as annotator bias or temporal dataset artifacts. Activation-patching validity: patching assumes the patched S_subspace fully mediates O→I; hidden channels or incomplete projectors can invalidate causal claims. Annotation noise: human I labels can be subjective and culturally variable, reducing reliability. Threshold sensitivity: chosen cutoffs (R^2, r_cc, sinθ, MI ratio, KL thresholds) may be ad hoc and affect conclusions. Compute limits: scale-up decisions (e.g., to ~45M params) may be constrained by compute budget and delay experiments. Generalization limits: results on deictic and narrative pilot tasks may not transfer to broader, open-domain language use. Ethical and governance limits: cross-cultural interpretants and sensitive content require careful IRB and annotator governance, which can slow data collection.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