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german_minority_archive_affective_impact</w:t>
      </w:r>
    </w:p>
    <w:p>
      <w:r>
        <w:t xml:space="preserve"> </w:t>
      </w:r>
    </w:p>
    <w:p>
      <w:pPr>
        <w:pStyle w:val="Heading2"/>
      </w:pPr>
      <w:r>
        <w:t>Title</w:t>
      </w:r>
    </w:p>
    <w:p>
      <w:r>
        <w:t>Mixed-methods evaluation of the affective, social, and personal impacts of a German minority community archive using paired quantitative measures and qualitative narrative analysis</w:t>
      </w:r>
    </w:p>
    <w:p>
      <w:r>
        <w:t xml:space="preserve"> </w:t>
      </w:r>
    </w:p>
    <w:p>
      <w:pPr>
        <w:pStyle w:val="Heading2"/>
      </w:pPr>
      <w:r>
        <w:t>Short Hypothesis</w:t>
      </w:r>
    </w:p>
    <w:p>
      <w:r>
        <w:t>Six months of active engagement with the community archive causes an increase in individual participants' self-reported sense of belonging by at least 0.5 standard deviations compared to their baseline measurement.</w:t>
      </w:r>
    </w:p>
    <w:p>
      <w:r>
        <w:t xml:space="preserve"> </w:t>
      </w:r>
    </w:p>
    <w:p>
      <w:pPr>
        <w:pStyle w:val="Heading2"/>
      </w:pPr>
      <w:r>
        <w:t>Related Work</w:t>
      </w:r>
    </w:p>
    <w:p>
      <w:r>
        <w:t>Prior work on community and minority archives emphasizes participatory collection, metadata standards, and ethical stewardship. Studies document technical approaches for preservation (AIPs, PREMIS), living consent models, and community-led vocabularies (SKOS). Sociolinguistic work documents dialect preservation and transcription conventions (ELAN, TEI, CHAT), while evaluations of archives report social benefits such as identity affirmation and intergenerational transmission. Limitations: few studies link archive metadata practices (especially affective tags) to quantifiable wellbeing outcomes; child- and youth-specific legal and consent mappings are often underspecified; many prior evaluations use small samples or cross-sectional designs limiting causal claims; technical governance and re-identification procedures are commonly described at a high level without operational SLAs or cryptographic detail; reproducible mixed-method pipelines that combine time-aligned transcription, affect coding, and inferential statistics are rare.</w:t>
      </w:r>
    </w:p>
    <w:p>
      <w:r>
        <w:t xml:space="preserve"> </w:t>
      </w:r>
    </w:p>
    <w:p>
      <w:pPr>
        <w:pStyle w:val="Heading2"/>
      </w:pPr>
      <w:r>
        <w:t>Abstract</w:t>
      </w:r>
    </w:p>
    <w:p>
      <w:r>
        <w:t>This study measures how participation in an independent German minority community archive affects contributors' sense of belonging, wellbeing, and identity work. We apply a mixed-methods design: paired quantitative surveys (sense-of-belonging scale, WHO-5) administered before and after a six-month pilot and qualitative narrative analysis of oral histories and interviews collected during August 2024 and the pilot period. We integrate participatory metadata (two-layer schema with affective tags and dialect annotations) and time-aligned transcripts (ELAN/TEI) to link specific archival practices to personal and social outcomes. The main contribution is an operational evaluation that tests whether archive engagement and affective metadata curation produce measurable changes in belonging and wellbeing, and whether metadata practices correlate with narrative themes of identity and intergenerational transmission. Expected outcomes are a reproducible evaluation pipeline, quantified effect estimates for belonging and wellbeing, and evidence about the role of affective and dialectal metadata in sustaining minority cultural identity.</w:t>
      </w:r>
    </w:p>
    <w:p>
      <w:r>
        <w:t xml:space="preserve"> </w:t>
      </w:r>
    </w:p>
    <w:p>
      <w:pPr>
        <w:pStyle w:val="Heading2"/>
      </w:pPr>
      <w:r>
        <w:t>Experiments</w:t>
      </w:r>
    </w:p>
    <w:p>
      <w:r>
        <w:t>Datasets: (1) Pilot archive corpus: 40-60 ingested items (audio/video/transcripts) with two-layer metadata and affective tags. (2) Interview corpus: 15-30 semi-structured oral histories from Aug 2024 plus 15-35 pilot interviews. (3) Participant sample: N≈50 paired participants stratified by age (30 children/youth 4-17; 10-12 elders; 8-12 intergenerational dyads). (4) Usage logs: tagging counts, access requests, steward activity. Baselines: (A) waitlist control group from same community with no archive engagement during pilot; (B) intervention variant without affective metadata (metadata present but affective tags hidden); (C) published historical-archive engagement from local institutional archive if available. Evaluation metrics: Primary: paired change in sense-of-belonging score (Cohen's d, paired t-test, linear mixed-effects model with random intercepts by participant). Secondary: WHO-5 change, tag engagement rate (tags per item), steward capacity (training completion, inter-rater κ), access-request frequency, qualitative theme prevalence. Other metrics: inter-rater reliability (Cohen's kappa) for affective coding (target κ reported), transcript alignment accuracy (time jitter in ms). Experimental setup: pre-test at t0 (baseline survey + initial interview), intervention period 6 months with archive engagement (workshops, collecting days, tagging tasks), post-test at t1 (same surveys + follow-up interview). Statistical analysis: linear mixed-effects with fixed effects for time, age-group, and engagement intensity; handle missing data with multiple imputation (MICE); report p-values, 95% CI, and effect sizes. Ablation studies: (1) compare participants in affective-tags-enabled arm vs affective-tags-disabled arm to isolate effect of affective metadata; (2) remove dialect annotation from analysis to measure its contribution to thematic coding; (3) compare results with and without inclusion of youth participants to test age-cluster effects. Qualitative analysis: thematic coding of transcripts, mapping coded segments to LocalTermTags and AffectiveTags; report codebook, coder counts, and κ for 20% double-coded sample. Reproducibility: provide analysis scripts, pre-registered primary/secondary outcomes, and power assumptions (n≈50 yields ~80% power for d=0.5).</w:t>
      </w:r>
    </w:p>
    <w:p>
      <w:r>
        <w:t xml:space="preserve"> </w:t>
      </w:r>
    </w:p>
    <w:p>
      <w:pPr>
        <w:pStyle w:val="Heading2"/>
      </w:pPr>
      <w:r>
        <w:t>Risk Factors And Limitations</w:t>
      </w:r>
    </w:p>
    <w:p>
      <w:r>
        <w:t>Technical failure modes: loss or corruption of AIPs, consent-propagation bugs, or audit-log gaps. Data and evaluation biases: non-random self-selection into participation, social desirability in self-reports, small sample size limiting precision. Scalability limits: manual transcription and ELAN annotation are time-consuming and do not scale without more resources. Security and legal constraints: cross-border data-transfer rules, jurisdictional differences in child consent ages, and conflict between archival retention practices and 'right to be forgotten' may restrict data use. Ethical limits: risk of re-identification from dialectal markers, emotional distress during interviews, or community tensions around openness. Generalization limits: findings may not transfer to other minority communities, languages, or national contexts outside Silesia. Statistical limits: multiple comparisons risk and clustered effects by family or advisory groups may reduce effective sample size. Operational limits: Advisory Circle review SLAs and two-person HSM approval flows may create delays that affect time-bound re-consent or research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