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impact_vc_ambiguity</w:t>
      </w:r>
    </w:p>
    <w:p>
      <w:r>
        <w:t xml:space="preserve"> </w:t>
      </w:r>
    </w:p>
    <w:p>
      <w:pPr>
        <w:pStyle w:val="Heading2"/>
      </w:pPr>
      <w:r>
        <w:t>Title</w:t>
      </w:r>
    </w:p>
    <w:p>
      <w:r>
        <w:t>Cluster-randomized evaluation using NLP-derived ambiguity measures of how impact venture capitalists access new markets, founders, and capital</w:t>
      </w:r>
    </w:p>
    <w:p>
      <w:r>
        <w:t xml:space="preserve"> </w:t>
      </w:r>
    </w:p>
    <w:p>
      <w:pPr>
        <w:pStyle w:val="Heading2"/>
      </w:pPr>
      <w:r>
        <w:t>Short Hypothesis</w:t>
      </w:r>
    </w:p>
    <w:p>
      <w:r>
        <w:t>Random assignment of fund cohorts to a standardized pitch template combined with intermediary encouragement increases the probability of deal_closure within 12 months relative to control, and this effect is mediated by a reduction in NLP-derived narrative ambiguity scores.</w:t>
      </w:r>
    </w:p>
    <w:p>
      <w:r>
        <w:t xml:space="preserve"> </w:t>
      </w:r>
    </w:p>
    <w:p>
      <w:pPr>
        <w:pStyle w:val="Heading2"/>
      </w:pPr>
      <w:r>
        <w:t>Related Work</w:t>
      </w:r>
    </w:p>
    <w:p>
      <w:r>
        <w:t>Work on impact investing documents tension between social/environmental goals and financial returns and proposes standardized metrics (IRIS+, SROI, ESG) and signaling instruments (certifications, pitch templates). Prior empirical studies often use observational comparisons or descriptive case studies and therefore cannot isolate causal effects of interventions on deal outcomes. Existing causal work in venture contexts relies on cluster or quasi-experimental designs but typically ignores network spillovers and mediator-driven mechanisms. NLP applications to investment texts exist for sentiment or risk detection but use small, monolingual labeled sets and rarely integrate discourse-level ambiguity measures into causal designs. Limitations in prior approaches include weak instrument strategies, little pre-specification for interference (network spillovers), small multilingual annotation budgets, lack of validated mediator measures of narrative ambiguity, and incomplete alignment with established impact taxonomies for cross-study comparability.</w:t>
      </w:r>
    </w:p>
    <w:p>
      <w:r>
        <w:t xml:space="preserve"> </w:t>
      </w:r>
    </w:p>
    <w:p>
      <w:pPr>
        <w:pStyle w:val="Heading2"/>
      </w:pPr>
      <w:r>
        <w:t>Abstract</w:t>
      </w:r>
    </w:p>
    <w:p>
      <w:r>
        <w:t>Impact venture capitalists operate under contested definitions of "impact," and ambiguity in founder narratives can shape market entry, fundraising, and founder relationships. We propose a cluster-randomized evaluation that pairs a standardized pitch template intervention with intermediary encouragement and uses NLP to quantify narrative ambiguity and credibility. The design measures primary outcomes (deal_closure, time_to_term_sheet, amount_invested) and tests mediation by Ambiguity and Narrative Credibility scores derived from annotated pitch decks and founder interviews. We combine cluster ITT estimation, IV/CACE identification using intermediary centrality and randomized encouragement, and weak-instrument-robust inference. The main contribution is an integrated, preregistered pipeline that links qualitative theory (tactical maneuvers from de Certeau) to reproducible causal estimates and validated discourse measures across three pilot ecosystems. Expected outcomes are credible estimates of how reducing narrative ambiguity affects deal outcomes, validated multilingual ambiguity classifiers, and transparently reported power and sensitivity analyses for IV identification, including spillover-aware specifications. Results will inform practical signaling tools for founders and intermediaries and provide rigorous evidence on mechanisms behind impact capital allocation.</w:t>
      </w:r>
    </w:p>
    <w:p>
      <w:r>
        <w:t xml:space="preserve"> </w:t>
      </w:r>
    </w:p>
    <w:p>
      <w:pPr>
        <w:pStyle w:val="Heading2"/>
      </w:pPr>
      <w:r>
        <w:t>Experiments</w:t>
      </w:r>
    </w:p>
    <w:p>
      <w:r>
        <w:t>Datasets: (1) Anonymized pitch decks and textual application fields (target N ≈ 450 decks across Kenya/India/Colombia); (2) deal metadata: initial_pitch_date, term_sheet_date, closure_indicator (deal_closure 0/1 within 365 days), amount_invested_usd, fund AUM, ticket size, deal stage, founder covariates; (3) investor/intermediary network edges from co-investments/referrals; (4) founder interview transcripts (≈180). Labeling: 3-annotator protocol, 25% double-coded, initial labeled sample 900 (300 per country) expanding to ≈2000 via active learning. NLP models: baseline bag-of-words logistic regression and SVM; advanced baseline = fine-tuned XLM-R transformer (multilingual). Metrics for NLP: Cohen's kappa for annotation reliability, macro-F1, AUC, calibration (Brier score). Primary causal estimands: cluster-level ITT on deal_closure and time_to_term_sheet; CACE via 2SLS using instrument(s). Baseline estimators: cluster-robust linear probability model (LPM), mixed-effects logistic regression (GLMM), OLS for continuous outcomes. IV estimators: 2SLS, LIML, Anderson–Rubin tests, and weak-IV robust confidence sets. Diagnostics: first-stage partial R2, effective F-stat, overidentification tests, placebo regressions on lagged outcomes, Conley bounds for plausible direct effects. Experimental design: cluster randomize fund/accelerator cohorts; stratify by country, sector, fund AUM tertile, baseline ambiguity tertile; seed and randomization algorithm pre-registered. Simulation suite: Monte Carlo varying clusters per arm (30,40,60,80), deals per cluster drawn Negative Binomial, ICC ∈ {0.005,0.02,0.05,0.08}, compliance 10–40%, first-stage partial R2 ∈ {0.01,0.03,0.05,0.10}; report power, MDE, bias, coverage for ITT and IV/CACE under each cell. Ablations and comparisons: (A) causal estimators: LPM vs GLMM vs TMLE (targeted maximum likelihood estimation) with clustered inference; (B) instrument set: intermediary centrality alone vs centrality + randomized encouragement; (C) mediator: include vs exclude Ambiguity/Narrative Credibility scores; (D) adoption thresholds: primary 70% adoption vs sensitivity at 50% and 90%; (E) NLP model ablation: monolingual fine-tune vs multilingual fine-tune vs no domain adaptation. Inference adjustments: report wild-cluster-bootstrap p-values and bias-reduced linearization when cluster counts are low. Reproducibility: release simulation and analysis code, synthetic data, and random seeds.</w:t>
      </w:r>
    </w:p>
    <w:p>
      <w:r>
        <w:t xml:space="preserve"> </w:t>
      </w:r>
    </w:p>
    <w:p>
      <w:pPr>
        <w:pStyle w:val="Heading2"/>
      </w:pPr>
      <w:r>
        <w:t>Risk Factors And Limitations</w:t>
      </w:r>
    </w:p>
    <w:p>
      <w:r>
        <w:t>IV validity risk: intermediary centrality may correlate with unobserved fund quality causing biased IV/CACE; instrument weakness (low first-stage partial R2) reduces power. Network spillovers: referrals across clusters can violate no-interference assumptions and bias ITT estimates. Small cluster counts: clustered inference can be imprecise and standard errors may be downward biased. NLP domain shift: multilingual and sectoral variation may degrade classifier performance with limited labeled data. Measurement error: imperfect adoption logs or misclassification of treatment status affect CACE estimates. Missing data and attrition: non-random missingness (MNAR) in deals or follow-up outcomes can bias results. Legal and data access constraints: NDAs or data export rules may limit sample size or completeness. External validity: pilot ecosystems and sectors may not generalize to other markets. Computational limits: transformer fine-tuning across languages and active learning cycles require GPU resources and time that may constrain labeling expansion. Model uncertainty propagation: classifier uncertainty must be carried into causal estimates; failure to do so will understate total variance.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