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w:t>
      </w:r>
    </w:p>
    <w:p>
      <w:r>
        <w:t xml:space="preserve"> </w:t>
      </w:r>
    </w:p>
    <w:p>
      <w:pPr>
        <w:pStyle w:val="Heading2"/>
      </w:pPr>
      <w:r>
        <w:t>Title</w:t>
      </w:r>
    </w:p>
    <w:p>
      <w:r>
        <w:t>Experimental and computational analysis of business-leader populist rhetoric's causal effects on consumer behavior</w:t>
      </w:r>
    </w:p>
    <w:p>
      <w:r>
        <w:t xml:space="preserve"> </w:t>
      </w:r>
    </w:p>
    <w:p>
      <w:pPr>
        <w:pStyle w:val="Heading2"/>
      </w:pPr>
      <w:r>
        <w:t>Short Hypothesis</w:t>
      </w:r>
    </w:p>
    <w:p>
      <w:r>
        <w:t>Randomized exposure to business-leader populist messages causes an increase in short-term purchase behavior for the targeted brand via heightened affect (anger or pride) and stronger boundary-based consumer identification.</w:t>
      </w:r>
    </w:p>
    <w:p>
      <w:r>
        <w:t xml:space="preserve"> </w:t>
      </w:r>
    </w:p>
    <w:p>
      <w:pPr>
        <w:pStyle w:val="Heading2"/>
      </w:pPr>
      <w:r>
        <w:t>Related Work</w:t>
      </w:r>
    </w:p>
    <w:p>
      <w:r>
        <w:t>Prior work spans political communication (studying populist rhetoric by politicians), consumer behavior (effects of emotions and identity on purchases), and computational text analysis (NLP detection of political or persuasive framing). Existing approaches often (1) analyze political populism rather than business-led messaging, (2) rely on correlational social-media or ad-frequency studies without randomized causal tests, (3) measure populism with coarse binary labels that miss intensity and affective triggers, and (4) use single-language NLP models that do not generalize across dialects. Limitations include weak causal identification for sales effects, limited mediation tests linking rhetoric → affect → behavior, insufficient attention to interference/spillover (when exposed and unexposed groups mix), and sparse procedures for linking survey responses to transaction data while preserving privacy. These gaps reduce confidence in claims about how leader rhetoric shapes real consumption.</w:t>
      </w:r>
    </w:p>
    <w:p>
      <w:r>
        <w:t xml:space="preserve"> </w:t>
      </w:r>
    </w:p>
    <w:p>
      <w:pPr>
        <w:pStyle w:val="Heading2"/>
      </w:pPr>
      <w:r>
        <w:t>Abstract</w:t>
      </w:r>
    </w:p>
    <w:p>
      <w:r>
        <w:t>This study introduces and tests the concept of "consumption populism": the use of populist logic by business leaders to shape consumer behavior. We combine randomized experiments, longitudinal panel and transaction linkage, event-study designs, and computational text analysis to identify causal pathways from leader rhetoric to purchasing. Key contributions are (1) an operationalized three-stage model of consumption populism (otherization, homogenization, hegemony) mapped to affective mediators and boundary-work measures, (2) a preregistered experimental protocol (2x2x2 factorial) and identification toolbox (staggered rollouts, instrumental variables, synthetic controls), and (3) a validated, cross-lingual NLP pipeline that measures populist intensity and affect. Expected outcomes are causal estimates of short-term purchase lift (ATE and LATE), measures of indirect effects through affect (mediation), and robust classifiers for scalable detection of consumption-populist messaging. Results will inform policy and corporate governance by quantifying when and how leader-led populist appeals translate into market outcomes.</w:t>
      </w:r>
    </w:p>
    <w:p>
      <w:r>
        <w:t xml:space="preserve"> </w:t>
      </w:r>
    </w:p>
    <w:p>
      <w:pPr>
        <w:pStyle w:val="Heading2"/>
      </w:pPr>
      <w:r>
        <w:t>Experiments</w:t>
      </w:r>
    </w:p>
    <w:p>
      <w:r>
        <w:t>Datasets: (1) Annotated text corpus of corporate communications (CEO speeches, ads, social posts) with timestamps, channel, product, country; (2) Panel survey sample N=2,500–3,500 across 3 countries, with pre-registered quotas and demographic covariates; (3) Transaction/loyalty data linked via hashed IDs for consenting panelists; (4) Event windows of real CEO speeches/marketing campaigns for observational event-studies. Baselines: neutral product-feature ads (no populist framing), non-personalized populist framing (group-based language but no CEO personalization), and existing NLP models (bag-of-words logistic regression). Experimental design: primary randomized 2x2x2 vignette/ad experiment varying (A) people-vs-elite framing (yes/no), (B) CEO personalization (yes/no), (C) affective trigger intensity (low/high); random assignment at individual level with clustered arms when spillovers likely. Pilot: N≈400 for item validation and EFA; main experiment N≈2,500 (≈312 per cell) to target d≈0.20–0.25 effects. Alternative designs: staggered rollouts across markets and randomized ad-frequency thresholds as instruments (IV). Observational checks: synthetic control for markets with CEO speech events; event-study with Sun &amp; Abraham corrections for staggered timing. Evaluation metrics: behavioral — ATE (average treatment effect, i.e., mean difference in outcome due to treatment), ITT (intent-to-treat), LATE (local average treatment effect, for IV), CTR (click-through rate), immediate purchase lift (%) and 3–12 month retention; mediation — ACME/ADE (average causal mediation/direct effects), proportion mediated, sensitivity parameter ρ (for unobserved confounding); NLP — precision, recall, F1, AUC, calibration (Brier score), subgroup F1 by language/dialect; measurement — Cronbach’s alpha/omega, ΔCFI and ΔRMSEA for invariance. Comparison/ablation studies: (1) ablate CEO personalization to estimate personalization effect; (2) ablate affective wording to isolate affect channel; (3) NLP ablation: lexicon-only classifier vs. transformer-based multilingual model (e.g., multilingual transformer) to measure gains from contextual models; (4) outcome index weighting ablation: equal weights vs. PCA-derived weights. Pre-analysis: pre-register primary short-term outcome index (weighted basket: purchase intent, CTR, immediate purchase), hierarchical testing (primary then families), multiple-testing corrections (Holm within families, BH across exploratories). Power and sampling: pilot-informed MDE calculations in shared spreadsheet; target per-country minimum N=500 with oversamples for ideologically extreme and low-trust groups. Attrition/compliance: pre-registered IPW (inverse-probability weighting) and Lee bounds rules; manipulation checks and fidelity items embedded post-exposure. Transaction linkage: deterministic hashed ID workflow with opt-in consent and data-use agreement.</w:t>
      </w:r>
    </w:p>
    <w:p>
      <w:r>
        <w:t xml:space="preserve"> </w:t>
      </w:r>
    </w:p>
    <w:p>
      <w:pPr>
        <w:pStyle w:val="Heading2"/>
      </w:pPr>
      <w:r>
        <w:t>Risk Factors And Limitations</w:t>
      </w:r>
    </w:p>
    <w:p>
      <w:r>
        <w:t>Technical failure modes: weak first-stage instruments (F-stat &lt; 10) or small treatment effects reducing identification power; NLP classifier poor cross-lingual transfer causing low precision in some dialects. Data and evaluation biases: selection bias from opt-in transaction linkage, self-report bias in survey measures, and sampling frames that underrepresent informal-economy consumers. Interference and spillovers: media and social networks may expose control units, biasing estimates; clustered designs or buffer zones may be required. Scalability and compute: large transformer models for cross-lingual NLP may require substantial GPU resources; real-time annotation and active learning incur human labor. Legal/privacy constraints: delays in contracts for sales data linkage and strict consent requirements may limit sample size. Generalization limits: findings from specific cultural contexts or exemplar firms (e.g., neo-swadeshi cases) may not generalize to all markets or industries. Mediation limits: causal mediation requires strong assumptions (no unmeasured mediator–outcome confounding) that may not fully hold, limiting causal interpretation of indirect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