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ethical_review_ssh_sweden</w:t>
      </w:r>
    </w:p>
    <w:p>
      <w:r>
        <w:t xml:space="preserve"> </w:t>
      </w:r>
    </w:p>
    <w:p>
      <w:pPr>
        <w:pStyle w:val="Heading2"/>
      </w:pPr>
      <w:r>
        <w:t>Title</w:t>
      </w:r>
    </w:p>
    <w:p>
      <w:r>
        <w:t>Qualitative group-interview and linked survey analysis of Swedish social science and humanities researchers' experiences with the ethical review system</w:t>
      </w:r>
    </w:p>
    <w:p>
      <w:r>
        <w:t xml:space="preserve"> </w:t>
      </w:r>
    </w:p>
    <w:p>
      <w:pPr>
        <w:pStyle w:val="Heading2"/>
      </w:pPr>
      <w:r>
        <w:t>Short Hypothesis</w:t>
      </w:r>
    </w:p>
    <w:p>
      <w:r>
        <w:t>Researchers who primarily use ethnographic or field-based methods report more delays and methodological compromises due to ethical review procedures than researchers who primarily use survey or archival methods.</w:t>
      </w:r>
    </w:p>
    <w:p>
      <w:r>
        <w:t xml:space="preserve"> </w:t>
      </w:r>
    </w:p>
    <w:p>
      <w:pPr>
        <w:pStyle w:val="Heading2"/>
      </w:pPr>
      <w:r>
        <w:t>Related Work</w:t>
      </w:r>
    </w:p>
    <w:p>
      <w:r>
        <w:t>Existing work examines ethics review systems using surveys, case studies, vignette experiments, and document audits. Comparative studies repeatedly find tensions between one-size-fits-all review rules and method-specific needs, and show that review systems designed for biomedical research often misfit social science and humanities (SSH) methods. Prior methods identify common problems: long decision times, vague legal guidance (especially around data protection), and requests that force methodological changes. Limitations in current approaches include narrow disciplinary samples, weak integration between quantitative and qualitative streams, limited reproducibility of coding and anonymization rules, and sparse empirical evidence linking review outcomes to measurable research harms (e.g., delays or changed methods). Few studies combine interview narratives, decision-letter analysis, and representative survey experiments with pre-specified sampling frames and formal clustering; few evaluate robustness to nonresponse or provide transparent k-anonymity risk metrics for shared outputs. These gaps leave unresolved how method type causally relates to reported review burdens and what specific procedural reforms would reduce bureaucratic friction while preserving protections.</w:t>
      </w:r>
    </w:p>
    <w:p>
      <w:r>
        <w:t xml:space="preserve"> </w:t>
      </w:r>
    </w:p>
    <w:p>
      <w:pPr>
        <w:pStyle w:val="Heading2"/>
      </w:pPr>
      <w:r>
        <w:t>Abstract</w:t>
      </w:r>
    </w:p>
    <w:p>
      <w:r>
        <w:t>This study investigates how Sweden's ethical review system affects social science and humanities (SSH) research practices, focusing on method-specific burdens such as delays and forced methodological changes. We combine seven semi-structured group interviews (18 SSH researchers), a nationally targeted survey (N = 1,200–1,500) with embedded vignette experiments, and a curated corpus of ethics decision letters to map perceptions and measurable outcomes. Analysis pairs latent-class clustering of survey respondents with purposive qualitative follow-up, and links decision-letter events to reported delays. Main contributions are: (1) a reproducible, bilingual codebook and anonymization protocol for sensitive SSH materials; (2) pre-specified tests of whether field-based methods incur more review burden than survey/archival work; and (3) joint quantitative–qualitative displays tying statistical contrasts to representative narratives. Expected outcome is a tested evidence base that identifies concrete, method-sensitive points of friction in ethical review and supplies transparent governance artifacts (sampling frame, power appendix, missing-data plan, clustering spec, and security checklist) to support policy discussion and institutional reform.</w:t>
      </w:r>
    </w:p>
    <w:p>
      <w:r>
        <w:t xml:space="preserve"> </w:t>
      </w:r>
    </w:p>
    <w:p>
      <w:pPr>
        <w:pStyle w:val="Heading2"/>
      </w:pPr>
      <w:r>
        <w:t>Experiments</w:t>
      </w:r>
    </w:p>
    <w:p>
      <w:r>
        <w:t>Datasets: (A) Survey dataset: nationally targeted sample of Swedish SSH researchers, target N = 1,200–1,500 completed responses; invitation frame built from university faculty rosters, national research registry listings, and professional association membership lists; oversampling ratios specified below. (B) Qualitative dataset: seven semi-structured group interviews, n = 18 participants across disciplines and career stages, audio transcripts in Swedish. (C) Decision-letter corpus: n ≈ 150 anonymized ethics decision letters from recent Swedish Ethical Review Authority cases (redacted). Baselines: (1) unweighted survey estimates (naive baseline); (2) weighted estimates using propensity weighting + raking (primary baseline); (3) alternative clustering using k-means (validation baseline). Metrics: procedural_fairness_index (composite continuous score normalized 0–100; constructed from Likert items on transparency, consistency, and reason-giving), delay_days (self-reported or administrative days from submission to decision), proportion_reported_method_change (binary), Cohen's d for mean contrasts, odds ratios from logistic regression, hazard ratios from Cox proportional hazards model for time-to-decision, Krippendorff's alpha for intercoder reliability (measure of agreement), classification probabilities for latent classes. Sampling and oversampling: invite 5,000–7,500 researchers; oversample early-career and field-method strata at ratio 2:1 relative to baseline prevalence to ensure minimum n ≈ 150 per key cell. Analysis pipeline: (1) survey weighting: estimate response propensity model using auxiliaries (institution type, region, subdiscipline, career stage, methodological family, year of PhD, publication-count band); apply raking to known margins; report DEFF and trim at 95th percentile if DEFF &gt; 2. (2) Primary test: compare procedural_fairness_index and delay_days between method groups (ethnographic/field vs survey/archival) using weighted OLS and logistic regression for proportion_reported_method_change; report adjusted effect sizes and 95% CIs. (3) Time-to-decision: fit Cox model (proportional hazards), test proportionality (Schoenfeld residuals), report detectable hazard ratios given assumed censoring 20%. (4) Clustering: run latent class analysis (LCA) on standardized experience indicators; select class number by BIC decrease, entropy &gt; 0.70, and substantive interpretability; validate class solution with k-means and bootstrap assignment stability (1,000 resamples). (5) Linked qualitative validation: purposively sample 5–7 interviews per latent class for thematic coding; compute Krippendorff's alpha on pilot 10% double-coded sample (target ≥ 0.70). (6) Ablations/robustness: (a) rerun primary contrasts without weighting; (b) rerun with alternative imputation schemes (MICE m=20 vs complete-case); (c) compare LCA vs k-means cluster assignments and report classification probability distributions; (d) evaluate results after excluding decision-letter-linked cases. Statistical tests and thresholds: two-sided tests, primary contrasts limited to 5 pre-registered tests with alpha = 0.05 (no correction); secondary families controlled by Benjamini–Hochberg FDR. Deliverables per experiment: effect estimates, model diagnostics (residuals, proportionality), code scripts (R) with fixed seeds, and R-ready anonymized analytic extracts compliant with k-anonymity k &gt;= 5.</w:t>
      </w:r>
    </w:p>
    <w:p>
      <w:r>
        <w:t xml:space="preserve"> </w:t>
      </w:r>
    </w:p>
    <w:p>
      <w:pPr>
        <w:pStyle w:val="Heading2"/>
      </w:pPr>
      <w:r>
        <w:t>Risk Factors And Limitations</w:t>
      </w:r>
    </w:p>
    <w:p>
      <w:r>
        <w:t>Samplingframe incompleteness: university rosters and membership lists may omit groups or contain outdated contacts, causing coverage bias. Nonresponse bias: differential response by career stage or method could persist after weighting and distort estimates. Small qualitative sample: n=18 limits generalizability of narrative patterns beyond sampled clusters. Social desirability and recall bias: participants may underreport regulatory noncompliance or misremember timelines. Clustering uncertainty: latent class assignments are probabilistic; misclassification can bias linked qualitative sampling. Model assumption failures: OLS residual assumptions or Cox proportional hazards proportionality may be violated, invalidating specific inferential tests. GDPR constraints: redaction and k-anonymity requirements (k&gt;=5) can remove detail from shared outputs and reduce analytic utility. Re-identification risk: even with k&gt;=5, rare attribute combinations may enable re-identification in small subgroups. Translation risk: forward/back translation may alter nuance in quotes and code labels. Resource and timeline limits: slow DPIA, ethics clearance, or SND access approvals can delay data collection and sharing. Scalability: complex weighting, multiple imputations (MICE m=20), LCA bootstrapping, and secure processing increase compute and personnel needs.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