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ethics_review_scat_jp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SCAT qualitative analysis of ethics-committee review comments on non-medical research proposals in Japan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Proposals that include explicit community engagement plans and documented gatekeeper consent receive fewer ethics-committee revision requests about consent, confidentiality, and community impact than proposals without such documentation.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of ethical review practice emphasize respect, informed consent, and confidentiality and use content- or thematic-analysis methods to summarize reviewer concerns. Prior approaches often rely on simple keyword counts, ad hoc thematic coding, or automated topic models. Limitations include small or non-representative samples, inconsistent or non-reproducible coding procedures, low inter-coder reliability, minimal linkage between comment content and measurable outcomes (for example, time-to-decision), and little focus on non-medical research in Japan where gatekeepers and community norms matter. Automated NLP methods can scale but miss context and nuance; manual thematic approaches capture nuance but lack reproducibility and quantitative association testing. Few studies combine rigorous qualitative coding with pre-specified quantitative tests that adjust for clustering, nor do they provide worked examples that map reviewer comments to operational fixes such as community-engagement templates.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how ethics committees review non-medical research proposals in Japan by analyzing committee review comments using the SCAT qualitative method. SCAT (stepwise categorical analysis technique) is a structured, reproducible way to derive themes from text. We assemble an anonymized dataset of review comments and proposal metadata split into two groups: proposals with explicit community engagement documentation and proposals without. We apply SCAT to extract salient ethical concern themes and measure inter-coder reliability. We then test whether the presence of engagement documentation and gatekeeper consent is associated with fewer reviewer requests on consent, confidentiality, and community impact, and with shorter time-to-decision, using pre-specified non-parametric and time-to-event models that account for clustering by site. The main contribution is a reproducible mapping from reviewer discourse to concrete proposal features and operational recommendations for committees and researchers. Expected outcomes include a ranked list of recurring ethical concerns, statistical tests of association, and worked exemplars that inform SOPs and reviewer training.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Anonymized corpus of ethics-committee review comments and decisions from a Japanese university: 240 proposals total (120 baseline without explicit engagement/gatekeeper documentation; 120 pilot with explicit engagement/gatekeeper documentation). (2) Proposal metadata table with columns: proposal_id, site_id, discipline, tier (low/medium/high), presence_of_engagement_plan (0/1), gatekeeper_documentation (0/1), dmp_completeness_score (0-100), data_sensitivity_score (0-100), submission_date, final_decision_date, external_dpia_flag (0/1), cab_involvement (0/1). Baselines: (A) keyword-frequency counts of consent/confidentiality/community-impact terms; (B) automated topic model (LDA) topic proportions; (C) manual thematic coding using an unstructured codebook. Proposed method: SCAT qualitative coding with a reproducible code schema. Evaluation metrics: primary metric = count of reviewer revision requests per proposal specifically about consent, confidentiality, or community impact (integer). Secondary metrics = median time-to-decision in days (time-to-event), proportion requiring external DPIA, inter-coder agreement (Cohen's kappa) for SCAT codes, thematic saturation point (number of documents to reach 95% new-theme plateau). Statistical tests and models: compare primary counts between groups using negative binomial regression with cluster-robust standard errors by site; Wilcoxon rank-sum test as non-parametric comparison; time-to-decision analyzed with Cox proportional hazards models (explained: a survival model measuring rate of reaching final decision) and median regression for robustness; model covariates: discipline, tier, data_sensitivity_score, dmp_completeness_score, cab_involvement. Pre-specify intraclass correlation (ICC) and use cluster adjustment. Inter-rater procedure: train three coders; double-code 20% random sample; compute Cohen's kappa; resolve discrepancies in adjudication meetings and update codebook. Ablation studies: (1) remove engagement_plan variable to measure effect size change; (2) remove gatekeeper_documentation; (3) replace SCAT with automated LDA coding to compare effect detection; (4) stratify by tier (low/medium/high) to test heterogeneity. Output: codebook, annotated examples (at least 3 fully worked cases), analysis scripts, and preregistered statistical plan. All analyses to be pre-registered and run with cluster-robust inference.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 and privacy: APPI constraints may limit access to raw comments and metadata, reducing sample size or forcing redaction that removes context. Selection bias: available proposals may not represent all disciplines or institutions, limiting generalizability beyond the studied university. Confounding and causality: association between engagement plans and reviewer behavior may be confounded by unobserved proposal quality or investigator experience; the design is observational and cannot prove causation. Annotation risks: SCAT coding is subjective; coder drift and low inter-coder reliability may reduce reproducibility. Small-sample limits: subgroup analyses (by discipline or high-tier projects) may be underpowered. Measurement error: automated extraction of 'revision requests' may misclassify comment intent. Technical scalability: manual SCAT coding is labor intensive and may not scale to very large corpora. Cultural specificity: findings may be specific to Japanese institutional norms and not transfer directly to other national contexts. Legal/ethical limits: publishing worked examples risks re-identification unless carefully redacted, which may reduce usefulness of examples.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