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risk_perception_homogeneity_systemic</w:t>
      </w:r>
    </w:p>
    <w:p>
      <w:r>
        <w:t xml:space="preserve"> </w:t>
      </w:r>
    </w:p>
    <w:p>
      <w:pPr>
        <w:pStyle w:val="Heading2"/>
      </w:pPr>
      <w:r>
        <w:t>Title</w:t>
      </w:r>
    </w:p>
    <w:p>
      <w:r>
        <w:t>Text-mining firm risk disclosures to measure perception homogeneity and estimate its effect on systemic financial risk</w:t>
      </w:r>
    </w:p>
    <w:p>
      <w:r>
        <w:t xml:space="preserve"> </w:t>
      </w:r>
    </w:p>
    <w:p>
      <w:pPr>
        <w:pStyle w:val="Heading2"/>
      </w:pPr>
      <w:r>
        <w:t>Short Hypothesis</w:t>
      </w:r>
    </w:p>
    <w:p>
      <w:r>
        <w:t>Greater homogeneity in firms' risk perceptions, measured from disclosure text, causally increases systemic financial risk as measured by CoVaR and cascade-size metrics.</w:t>
      </w:r>
    </w:p>
    <w:p>
      <w:r>
        <w:t xml:space="preserve"> </w:t>
      </w:r>
    </w:p>
    <w:p>
      <w:pPr>
        <w:pStyle w:val="Heading2"/>
      </w:pPr>
      <w:r>
        <w:t>Related Work</w:t>
      </w:r>
    </w:p>
    <w:p>
      <w:r>
        <w:t>Prior work has used text analysis to extract corporate risk signals and has linked firm-level risk measures to systemic indicators using network and stress-testing methods. Other studies measure systemic risk with CoVaR, SRISK, MES, or contagion statistics and use agent-based models for amplification mechanisms. Existing approaches have three main limitations: (1) most extract single-point text scores and ignore measurement uncertainty from NLP labeling and model drift; (2) many inference strategies assume cross-sectional independence or use simple clustering, which can understate dependence in multiplex financial networks; (3) simulations and identification checks often lack calibrated behavioral heterogeneity and formal weak-instrument decision rules. These gaps leave open whether observed homogeneity arises from common information shocks or from imitation and whether estimated effects are robust to network dependence, measurement error, and weak instruments.</w:t>
      </w:r>
    </w:p>
    <w:p>
      <w:r>
        <w:t xml:space="preserve"> </w:t>
      </w:r>
    </w:p>
    <w:p>
      <w:pPr>
        <w:pStyle w:val="Heading2"/>
      </w:pPr>
      <w:r>
        <w:t>Abstract</w:t>
      </w:r>
    </w:p>
    <w:p>
      <w:r>
        <w:t>This project measures how similar firms’ perceived risks are and tests whether that similarity increases systemic financial fragility. We extract risk perceptions from firm disclosures and earnings-call text using an NLP pipeline that produces posterior draws (many sampled alternative estimates) so linguistic uncertainty is explicit. We compress draws into daily/weekly homogeneity indices (dispersion, entropy, PCA cohesion, Moran’s I) and link them to market and tail-risk outcomes (CoVaR, SRISK, DebtRank) using panel regressions and network-aware inference. Identification uses exogenous instruments (monetary surprises, regulatory timing, media outages) with pre-registered first-stage thresholds and weak-IV decision rules. We complement empirical estimates with calibrated agent-based simulations that propagate posterior uncertainty through multiplex contagion dynamics. Main contributions are: a reproducible uncertainty-aware measurement of perception homogeneity, network-robust causal tests with weak-instrument safeguards, and mechanistic simulations that separate imitation from common-information channels. Expected outcome: clear, testable estimates of how perception homogeneity affects systemic risk and which channels drive amplification.</w:t>
      </w:r>
    </w:p>
    <w:p>
      <w:r>
        <w:t xml:space="preserve"> </w:t>
      </w:r>
    </w:p>
    <w:p>
      <w:pPr>
        <w:pStyle w:val="Heading2"/>
      </w:pPr>
      <w:r>
        <w:t>Experiments</w:t>
      </w:r>
    </w:p>
    <w:p>
      <w:r>
        <w:t>Datasets: EDGAR filings (10-K MD&amp;A, 8-K), earnings-call transcripts, CRSP/Compustat returns and accounting, option-implied volatilities, CDS prices, TRACE/transaction-level liquidity where available, and any available contractual exposure datasets (loans, supplier links). Time span: 2010–2025 weekly panel; firm keys: GVKEY/CIK mapping table with temporal validity. Baselines: (A) single-point NLP scores (bag-of-words sentiment and topic intensity), (B) latent-topic risk scores (unsupervised LDA-like), (C) homogeneity computed from point estimates without uncertainty propagation. Proposed method: posterior-draw-aware homogeneity indices (M=2000 draws per firm-date; fallback M=500). Evaluation metrics: first-stage partial R2 and F-stat for instruments; effect size and standard error on CoVaR (primary outcome) at 1-week and 4-week horizons; SRISK/MES change; DebtRank and cascade-size distribution moments (mean, 95th percentile); coverage probability of 95% CIs; RMSE and calibration (Brier-like) for NLP risk prediction vs human labels. Preprocessing and trimming: daily returns aggregated to weekly; winsorize returns at 0.5%/99.5% percentiles; winsorize CDS jumps at 0.5%/99.5%. Identification and inference: panel regressions with firm and time fixed effects, instrumented homogeneity (IV) using monetary surprises/regulatory timing/media outages, network wild bootstrap (NWBS) for standard errors (NWBS preserves dependence on network communities). Weak-IV decision rules: pre-register trigger if partial R2&lt;0.01 or F&lt;10 then use LIML or Fuller(1) estimator; report Anderson–Rubin CIs. SIMEX (lambda={0.5,1,1.5,2}, 200 MC replicates) and Bayesian measurement-error models (priors: beta~Normal(0,1), sigma_me~Half-Cauchy(0,2.5)) to correct attenuation; propagate posterior draws into homogeneity indices and regressions. Ablation studies: (1) posterior-propagated indices vs single-point indices; (2) NWBS vs spatial HAC and permutation inference; (3) inclusion vs exclusion of behavioral survey moderators; (4) simulation ablation: imitation-on vs imitation-off in ABM. Power and simulation checks: Monte Carlo across networks (Erdos–Renyi, small-world, core–periphery), N={500,1000,3000}, T=260 weeks, ICCs={0.05,0.1,0.2,0.3}, effect sizes standardized 0.10–0.30; publish minimum detectable effect tables and size/power matrices.</w:t>
      </w:r>
    </w:p>
    <w:p>
      <w:r>
        <w:t xml:space="preserve"> </w:t>
      </w:r>
    </w:p>
    <w:p>
      <w:pPr>
        <w:pStyle w:val="Heading2"/>
      </w:pPr>
      <w:r>
        <w:t>Risk Factors And Limitations</w:t>
      </w:r>
    </w:p>
    <w:p>
      <w:r>
        <w:t>NLP drift and label bias: models trained on past texts may perform worse on newer language; human annotations can be inconsistent and produce biased misclassification. Measurement uncertainty: posterior-draw inflation or poor calibration could produce wide CIs that limit power. Weak instruments: instruments may fail strength thresholds, reducing causal identification; LIML/Fuller reduce bias but may still be imprecise. Network data gaps: contractual exposure data may be incomplete or proprietary, requiring imputation that biases network metrics. Feedback and endogeneity: prices may influence future disclosures (reverse causality), complicating dynamic identification. Compute and storage limits: generating M=2000 posterior draws and large ABM ensembles requires large cloud cost and time; reductions will lower precision. Generalizability: results may not hold outside the US sample or other regulatory regimes. Behavioral survey risks: low response rates and privacy constraints may prevent linking survey measures to firm identifiers. Nonstationarity: structural breaks in macro regimes could invalidate fixed-horizon CoVaR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