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military_boards_audit_earnings_pk</w:t>
      </w:r>
    </w:p>
    <w:p>
      <w:r>
        <w:t xml:space="preserve"> </w:t>
      </w:r>
    </w:p>
    <w:p>
      <w:pPr>
        <w:pStyle w:val="Heading2"/>
      </w:pPr>
      <w:r>
        <w:t>Title</w:t>
      </w:r>
    </w:p>
    <w:p>
      <w:r>
        <w:t>Causal analysis using staggered difference-in-differences and instrumental variables of military experience on corporate boards and its effect on earnings management and audit quality in Pakistan</w:t>
      </w:r>
    </w:p>
    <w:p>
      <w:r>
        <w:t xml:space="preserve"> </w:t>
      </w:r>
    </w:p>
    <w:p>
      <w:pPr>
        <w:pStyle w:val="Heading2"/>
      </w:pPr>
      <w:r>
        <w:t>Short Hypothesis</w:t>
      </w:r>
    </w:p>
    <w:p>
      <w:r>
        <w:t>The presence of at least one military-experienced director on a firm’s board causes a reduction in discretionary accruals (accrual-based earnings management) in subsequent fiscal years.</w:t>
      </w:r>
    </w:p>
    <w:p>
      <w:r>
        <w:t xml:space="preserve"> </w:t>
      </w:r>
    </w:p>
    <w:p>
      <w:pPr>
        <w:pStyle w:val="Heading2"/>
      </w:pPr>
      <w:r>
        <w:t>Related Work</w:t>
      </w:r>
    </w:p>
    <w:p>
      <w:r>
        <w:t>Prior work links board composition and director characteristics to firm outcomes using cross-sectional regressions, panel fixed-effects, difference-in-differences (DiD), and instrumental-variables (IV) strategies. Studies measuring earnings management typically use accrual-based metrics (e.g., modified Jones models) and sometimes real activity measures (abnormal production, cash flows). Audit-quality research uses proxies such as auditor tenure, fees, and Big-N auditor status. Limitations in existing approaches include residual confounding from director appointment endogeneity, narrow focus on accruals (ignoring real activities), limited use of modern staggered-DiD estimators and weak-instrument-robust IV inference, sparse mediation evidence on audit channels, and under-representation of emerging markets. Many studies also rely on ad hoc audit-quality composites without validation, and qualitative mechanisms are often untested. These gaps motivate a combined staggered-DiD and IV design with validated audit-quality indices and explicit mediation tests in an emerging-market setting.</w:t>
      </w:r>
    </w:p>
    <w:p>
      <w:r>
        <w:t xml:space="preserve"> </w:t>
      </w:r>
    </w:p>
    <w:p>
      <w:pPr>
        <w:pStyle w:val="Heading2"/>
      </w:pPr>
      <w:r>
        <w:t>Abstract</w:t>
      </w:r>
    </w:p>
    <w:p>
      <w:r>
        <w:t>This study evaluates whether military-experienced directors on corporate boards causally affect firm earnings management and how audit quality moderates that effect. Using non-financial firms listed on the Pakistan Stock Exchange (2010–2022), we estimate the impact of board military experience on two types of earnings management: discretionary accruals (accounting choices) and real activity manipulation (operating choices). Identification combines staggered difference-in-differences (modern group-time estimators) for appointment timing with instrumental-variables exploiting regional veteran supply and base-closure shocks to address appointment endogeneity. Audit quality is measured as a validated composite index (fees, tenure, switches, going-concern opinions, report lag) and tested as a moderator and mediator. We present weak-instrument-robust inference (Anderson–Rubin, LIML), measurement-error correction (SIMEX), and mediation sensitivity analyses. The main contribution is causal evidence on how military human capital on boards interacts with auditor strength to shape both accrual and real earnings management in an emerging market, informing governance and disclosure policy.</w:t>
      </w:r>
    </w:p>
    <w:p>
      <w:r>
        <w:t xml:space="preserve"> </w:t>
      </w:r>
    </w:p>
    <w:p>
      <w:pPr>
        <w:pStyle w:val="Heading2"/>
      </w:pPr>
      <w:r>
        <w:t>Experiments</w:t>
      </w:r>
    </w:p>
    <w:p>
      <w:r>
        <w:t>Datasets: firm-year panel of non-financial firms listed on the Pakistan Stock Exchange, 2010–2022; financials from Compustat/board-level sources; director biographical data (BoardEx, proxy statements, public records) for military attributes; audit data from Audit Analytics/PCAOB proxies; regional covariates for IVs (veteran density, base-closure events, hiring-program rollouts). Outcomes: discretionary accruals measured via Kothari-adjusted modified Jones model (primary) (Kothari adjustment controls for performance effects), and real activity manipulation metrics (abnormal cash flows from operations, abnormal production costs, abnormal discretionary expenses per Roychowdhury method). Treatment: binary MIL_DIRECTOR (≥1 military director) and MIL_INTENSITY_INDEX (board-level standardized composite). Baselines: (1) OLS with firm and industry-year fixed effects; (2) staggered DiD using Callaway &amp; Sant’Anna group-time ATT aggregated by treated-firm counts (primary); (3) IV 2SLS with REGION_VETERAN_SHARE and BRAC/base-closure shocks as instruments; weak-instrument-robust inference using Anderson–Rubin and LIML; Sun &amp; Abraham estimator as robustness. Controls: firm size, leverage, ROA, CEO military indicator, board size, owner concentration, defense-contractor flag, country-level enforcement index, firm fixed effects, industry-year fixed effects. Preprocessing: winsorize numeric variables at 0.5% and 99.5%; require minimum N_g,t=5 for group-time cells. Clustering: primary cluster = firm; if treated clusters &lt; 10 then report wild-cluster bootstrap p-values. Evaluation metrics: estimated treatment coefficients, clustered standard errors, first-stage F-statistics and partial R², Anderson–Rubin p-values and confidence sets, event-study lead coefficients for pre-trend tests, placebo outcomes and leads significance, Cronbach’s alpha and PCA loadings for AUDIT_QUALITY_INDEX, SIMEX-corrected vs uncorrected estimates. Ablations and comparisons: (A) remove defense contractors and SOEs from sample; (B) replace MIL_DIRECTOR binary with MIL_INTENSITY continuous and high-intensity tercile; (C) alternative AUDIT_QUALITY_INDEX weightings (theory-weighted, equal-weight, PCA); (D) alternative DiD aggregation rules (equal-group, event-time weighted) and negative-weight diagnostics (Goodman–Bacon decomposition) reported; (E) mediation analysis using Imai et al. causal mediation with sensitivity to mediator-outcome confounding. Reporting: publish primary specification first, then ablation table and robustness panels.</w:t>
      </w:r>
    </w:p>
    <w:p>
      <w:r>
        <w:t xml:space="preserve"> </w:t>
      </w:r>
    </w:p>
    <w:p>
      <w:pPr>
        <w:pStyle w:val="Heading2"/>
      </w:pPr>
      <w:r>
        <w:t>Risk Factors And Limitations</w:t>
      </w:r>
    </w:p>
    <w:p>
      <w:r>
        <w:t>Measurement error in military background (misreporting or incomplete records) may bias estimates. Instruments may be weak or violate exclusion restrictions (regional shocks affecting firm outcomes through channels other than director supply). Spillovers (local veteran density affecting nearby firms) can violate SUTVA and bias DiD/IV estimates. Sample size and treated-group counts may be small for some cohort/time cells, reducing power and requiring wild-cluster methods. Audit-fee and auditor-specific data may be missing or inconsistently reported, limiting audit-quality index construction. Identification focuses on LATE (local average treatment effect) for compliers, which limits generalizability. Results from Pakistan may not generalize to other countries with different civil-military relations or enforcement regimes. Mediation tests can be biased by unobserved mediator-outcome confounding, making causal mediation interpretations tentative. Confidentiality and IRB constraints may limit public release of some cleaned data elements.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