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saudi_21cs_integration</w:t>
      </w:r>
    </w:p>
    <w:p>
      <w:r>
        <w:t xml:space="preserve"> </w:t>
      </w:r>
    </w:p>
    <w:p>
      <w:pPr>
        <w:pStyle w:val="Heading2"/>
      </w:pPr>
      <w:r>
        <w:t>Title</w:t>
      </w:r>
    </w:p>
    <w:p>
      <w:r>
        <w:t>Sequential exploratory mixed-methods ML-SEM study of English and mathematics teachers' integration of 21st century skills and barriers in Saudi classrooms</w:t>
      </w:r>
    </w:p>
    <w:p>
      <w:r>
        <w:t xml:space="preserve"> </w:t>
      </w:r>
    </w:p>
    <w:p>
      <w:pPr>
        <w:pStyle w:val="Heading2"/>
      </w:pPr>
      <w:r>
        <w:t>Short Hypothesis</w:t>
      </w:r>
    </w:p>
    <w:p>
      <w:r>
        <w:t>Schools where teachers receive targeted PD and exhibit higher enacted 21st century skills in classroom instruction will produce higher proximal student performance-task scores than schools without that PD.</w:t>
      </w:r>
    </w:p>
    <w:p>
      <w:r>
        <w:t xml:space="preserve"> </w:t>
      </w:r>
    </w:p>
    <w:p>
      <w:pPr>
        <w:pStyle w:val="Heading2"/>
      </w:pPr>
      <w:r>
        <w:t>Related Work</w:t>
      </w:r>
    </w:p>
    <w:p>
      <w:r>
        <w:t>Existing work evaluates 21st century skills (21CS) integration via classroom observations, teacher surveys, and small-scale PD pilots. Prior quantitative approaches often use single-level regression or simple multilevel models that do not model latent constructs and mediation jointly. Prior qualitative studies reveal barriers such as limited resources and training but lack generalizable effect-size estimates. Measurement work has proposed rubrics and bilingual anchors, but many studies report weak cross-group invariance, limited Rasch calibration sample sizes, and low inter-rater reliability. Power analyses and Monte Carlo simulations in prior work focus on direct teacher effects and rarely quantify power for indirect (mediation) effects under realistic classroom clustering and compliance rates. Data-governance and reproducibility practices are improving, yet few studies provide containerized analytic pipelines or pre-registered MNAR sensitivity analyses. Gaps: weak mediation power accounting for ICCs, inconsistent measurement invariance testing, and limited MNAR sensitivity plans.</w:t>
      </w:r>
    </w:p>
    <w:p>
      <w:r>
        <w:t xml:space="preserve"> </w:t>
      </w:r>
    </w:p>
    <w:p>
      <w:pPr>
        <w:pStyle w:val="Heading2"/>
      </w:pPr>
      <w:r>
        <w:t>Abstract</w:t>
      </w:r>
    </w:p>
    <w:p>
      <w:r>
        <w:t>This study measures how English and mathematics teachers in Saudi Arabia integrate four core 21st century skills (creativity, collaboration, critical thinking, communication) into instruction and identifies major barriers. We use a sequential exploratory mixed-methods design: classroom observations and semi-structured interviews will inform a bilingual questionnaire and a rubric. We then estimate causal chains from PD and teacher beliefs to classroom practice to proximal student outcomes using multilevel structural equation modeling (ML-SEM). ML-SEM (a statistical method that models hidden traits, called latent variables, across levels) will test mediation effects while accounting for classroom clustering. Main contributions: (1) validated bilingual rubrics and Rasch-calibrated measures for English and math; (2) Monte Carlo-derived sample targets for detecting indirect effects under realistic intraclass correlations; and (3) a pre-registered analytic pipeline including MNAR sensitivity analyses and reproducible code. Expected outcome: policy-relevant estimates of achievable short-term student gains tied to teacher practice change and clear barriers to scale-up in the Saudi context.</w:t>
      </w:r>
    </w:p>
    <w:p>
      <w:r>
        <w:t xml:space="preserve"> </w:t>
      </w:r>
    </w:p>
    <w:p>
      <w:pPr>
        <w:pStyle w:val="Heading2"/>
      </w:pPr>
      <w:r>
        <w:t>Experiments</w:t>
      </w:r>
    </w:p>
    <w:p>
      <w:r>
        <w:t>Datasets: (a) Pilot: 40–60 teachers, 12–20 schools, 40–100 observed lessons, ~1,200–1,500 students; (b) Medium: 300–400 teachers, 80–120 schools, 100–150 observations, ~6,000–10,000 students; (c) National: 800–1,000 teachers, 250 schools, 200–250 observations, ~16,000–25,000 students. Data components: bilingual observation rubrics (4–6 indicators per domain), classroom video tags, semi-structured interview transcripts, teacher questionnaire, and proximal student performance tasks (subject-specific short tasks). Baselines: (1) control schools with no PD; (2) alternative PD without coaching (modules only); (3) models excluding mediation (direct-effect multilevel models). Modeling and tools: primary analysis ML-SEM (multilevel structural equation modeling) in Mplus (or lavaan/simsem in R) estimating teacher beliefs → teacher practice → student outcomes with latent aggregation; FIML (full-information maximum likelihood) for missing data and BCa bootstrap for indirect effects; cluster-robust SEs at school level. Randomization: cluster randomized at school level; primary estimand ITT (intention-to-treat); secondary estimand CACE (complier average causal effect) when compliance variation exists. Monte Carlo mediation grid: loadings {0.50,0.60,0.70}, residuals {0.40,0.50,0.60}, direct betas {0.20,0.30,0.40}, ICCs {0.03,0.05,0.10,0.15}, cluster sizes {15,20,25}, attrition {10,20,30}, compliance rates {0.6,0.8}, replications 2,000, seed=2026. Evaluation metrics: indirect-effect size and 95% BCa CI; standardized betas; Cohen's d for pre-post teacher practice; statistical power for indirect effect (target 0.80); model fit indices CFI≥0.95, RMSEA≤0.06, SRMR≤0.08; rater inter-rater reliability ICC≥0.80; Rasch person/item reliability and infit/outfit statistics; ICC for classroom clustering. Ablations and comparisons: (A) ML-SEM mediation vs multilevel regression without latent variables; (B) ML-SEM with full invariance constraints vs partial invariance (release anchors); (C) remove each 21CS domain in turn to assess domain contribution to student outcomes; (D) compare Mplus MONTECARLO simulations with simsem R replications. Instrument validation: EFA on pilot (N≥200 where feasible), CFA/Rasch on medium and national samples with pre-registered invariance tests (configural→metric→scalar; ΔCFI threshold ≤0.01). Observer protocol: ≥24 hours training, ≥20 practice codings, double-code ≥10% lessons for ICC monitoring. Missing-data checks: FIML primary and multilevel MI (m=20) secondary; pre-registered MNAR sensitivity experiments (pattern-mixture/delta adjustments).</w:t>
      </w:r>
    </w:p>
    <w:p>
      <w:r>
        <w:t xml:space="preserve"> </w:t>
      </w:r>
    </w:p>
    <w:p>
      <w:pPr>
        <w:pStyle w:val="Heading2"/>
      </w:pPr>
      <w:r>
        <w:t>Risk Factors And Limitations</w:t>
      </w:r>
    </w:p>
    <w:p>
      <w:r>
        <w:t>Operational and administrative risks: MoE approval delays or restrictions on video/audio capture may reduce sample sizes or data richness. Technical and measurement risks: measurement noninvariance across region/gender or poor Rasch fit may prevent valid score comparisons across subgroups. Observer reliability risks: rater drift or low ICCs can bias observation scores. Statistical risks: low compliance or small indirect effects combined with high ICCs may leave mediation underpowered despite planned sample sizes. Missing-data risks: MNAR (missing not at random) patterns can bias estimates if not detected. Generalization limits: results will reflect Saudi English and math contexts and may not generalize to other subjects, grades, or countries. Computational limits: large Monte Carlo grids and ML-SEM with many latent factors require substantial compute and licensed software (Mplus) for full replication. Ethical/data governance constraints: DUA and in-country storage rules can limit public data sharing and reproducibility paths. Failure modes: weak instruments for CACE, model non-identification if indicators &lt;3 per latent factor, and model misfit leading to inconclusive mediation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