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social_capital_digital_literacy_ses_china</w:t>
      </w:r>
    </w:p>
    <w:p>
      <w:r>
        <w:t xml:space="preserve"> </w:t>
      </w:r>
    </w:p>
    <w:p>
      <w:pPr>
        <w:pStyle w:val="Heading2"/>
      </w:pPr>
      <w:r>
        <w:t>Title</w:t>
      </w:r>
    </w:p>
    <w:p>
      <w:r>
        <w:t>Multilevel mediation and moderated-mediation analysis of how social capital and digital literacy mediate socioeconomic status effects on higher education access among Chinese high school graduates</w:t>
      </w:r>
    </w:p>
    <w:p>
      <w:r>
        <w:t xml:space="preserve"> </w:t>
      </w:r>
    </w:p>
    <w:p>
      <w:pPr>
        <w:pStyle w:val="Heading2"/>
      </w:pPr>
      <w:r>
        <w:t>Short Hypothesis</w:t>
      </w:r>
    </w:p>
    <w:p>
      <w:r>
        <w:t>Greater social capital increases the probability of admission to higher education among Chinese high school graduates, and this effect operates in part through improved digital literacy, controlling for socioeconomic status and school-level resources.</w:t>
      </w:r>
    </w:p>
    <w:p>
      <w:r>
        <w:t xml:space="preserve"> </w:t>
      </w:r>
    </w:p>
    <w:p>
      <w:pPr>
        <w:pStyle w:val="Heading2"/>
      </w:pPr>
      <w:r>
        <w:t>Related Work</w:t>
      </w:r>
    </w:p>
    <w:p>
      <w:r>
        <w:t>Prior work finds that socioeconomic status (SES), social capital (social ties and resources), and digital literacy (ability to use and find useful information using digital tools) each correlate with college application and enrollment. Existing approaches typically use cross-sectional regressions or single-level mediation models and show associations but have weaknesses: limited causal identification (few credible instruments or quasi-experiments), inadequate handling of clustered data (school/district levels), scarce modeling of network dynamics (endogenous tie formation), and limited missing-data sensitivity (MCAR/MAR/MNAR not fully explored). Spatial heterogeneity and differential privacy effects on inference are rarely quantified. Power/sample limitations often prevent reliable subgroup or mediated-effect detection. These gaps leave open whether observed mediation pathways reflect causal mechanisms or confounding and how robust findings are to network endogeneity, attrition, and privacy-preserving noise.</w:t>
      </w:r>
    </w:p>
    <w:p>
      <w:r>
        <w:t xml:space="preserve"> </w:t>
      </w:r>
    </w:p>
    <w:p>
      <w:pPr>
        <w:pStyle w:val="Heading2"/>
      </w:pPr>
      <w:r>
        <w:t>Abstract</w:t>
      </w:r>
    </w:p>
    <w:p>
      <w:r>
        <w:t>This study examines whether and how social capital and digital literacy mediate socioeconomic disparities in access to higher education for Chinese high school graduates. Using a stratified survey (n=629 across western, central, and eastern provinces), multilevel regression, latent-variable mediation (structural equation models), longitudinal social network models (SAOMs), and spatial analyses, we estimate direct and indirect effects of family SES on college application, admission, and first-year persistence. Main contributions are: (1) jointly modeling multilevel mediation with measured social-network factors and digital-literacy performance, (2) pre-registered sensitivity and Monte Carlo simulations that quantify power, missing-data (MCAR/MAR/MNAR) impacts, and differential-privacy (DP) trade-offs, and (3) an operational workflow to propagate network-factor uncertainty into mediation estimates. Expected outcomes include quantified mediated effect sizes (standardized indirect effects), assessment of moderated mediation by school resources, and guidance on sample size and privacy regimes needed to support credible causal claims. The results aim to inform policy interventions that target bridging ties and digital skills to reduce SES-related barriers to higher education.</w:t>
      </w:r>
    </w:p>
    <w:p>
      <w:r>
        <w:t xml:space="preserve"> </w:t>
      </w:r>
    </w:p>
    <w:p>
      <w:pPr>
        <w:pStyle w:val="Heading2"/>
      </w:pPr>
      <w:r>
        <w:t>Experiments</w:t>
      </w:r>
    </w:p>
    <w:p>
      <w:r>
        <w:t>Datasets: primary survey (n=629; stratified across western, central, eastern provinces) with measures: parental education/income/occupation (SES), social-capital indicators (egocentric tie counts, bridging/linking ties, counselor/alumni ties), digital-literacy tasks (operational, informational, strategic performance scores), school/district resource roster, application/admission/persistence outcomes; pilot dataset (n=250-350) for reliability/ICC estimates; simulated datasets for N=2400 and N=4000 scenarios. Baselines: (B1) logistic regression of outcome on SES only; (B2) logistic regression adding observed covariates; (B3) multilevel logistic with random intercepts for school and district; (B4) multilevel mediation via SEM (latent mediators). Alternative estimators: targeted maximum likelihood estimation (TMLE), g-formula, IV-mediation (instrumental-variable mediation), and Bayesian joint models. Evaluation metrics: indirect effect size (standardized natural indirect effect), proportion mediated, 95% bootstrap/Monte Carlo CI coverage, percent bias, RMSE of estimates, statistical power (probability to detect pre-specified indirect effect ≈0.10), AUC for predictive submodels, and MDE (minimum detectable effect) in percentage points for admission/application. Experimental setup: fit models clustered by school/district (ICC reported), run 1,000 Monte Carlo replications per scenario, include attrition mechanisms MCAR/MAR/MNAR with pattern-mixture offsets (logit 0.2–0.5), and compare seeds. Ablations/comparisons: (A1) drop network mediators to assess loss of mediation signal; (A2) remove spatial terms to test spatial heterogeneity; (A3) compare SEM vs TMLE/g-formula for mediation estimates; (A4) inject DP noise at epsilons {0.5,1,2,3} and measure bias/power trade-offs; (A5) two-step vs joint propagation of SAOM-derived network factors into SEM (compare MI propagation vs Bayesian joint). Report convergence rates, nonconvergence counts, and subgroup power for SES tertiles and rural/urban strata.</w:t>
      </w:r>
    </w:p>
    <w:p>
      <w:r>
        <w:t xml:space="preserve"> </w:t>
      </w:r>
    </w:p>
    <w:p>
      <w:pPr>
        <w:pStyle w:val="Heading2"/>
      </w:pPr>
      <w:r>
        <w:t>Risk Factors And Limitations</w:t>
      </w:r>
    </w:p>
    <w:p>
      <w:r>
        <w:t>Causal identification risk: proposed instruments or quasi-experiments may violate exclusion (could affect enrollment directly), producing biased IV or mediation estimates. Unmeasured mediator–outcome confounding: sensitivity bounds may be wide and prevent strong causal claims. Network endogeneity: tie formation may be correlated with unobserved traits that also affect outcomes, biasing network-mediated estimates. Missing data and attrition: MNAR patterns or high per-wave attrition reduce power and bias mediation pathways. Small sample constraints: n=629 limits power to detect small indirect effects and subgroup heterogeneity; simulated larger samples may be infeasible. Measurement issues: digital-literacy tasks and network items may lack invariance across languages/regions (translation/back-translation needed); self-report bias affects social-capital measures. Differential privacy trade-offs: DP noise may increase bias or reduce power for indirect effects and subgroup MDEs. Computational limits: SAOMs and 1,000+ Monte Carlo reps are compute-intensive. Generalizability: findings may not generalize beyond sampled provinces or cohorts. Ethical/privacy limits: some detailed network outputs cannot be publicly released, restricting transparency of certain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