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chatgpt_pgt_reading</w:t>
      </w:r>
    </w:p>
    <w:p>
      <w:r>
        <w:t xml:space="preserve"> </w:t>
      </w:r>
    </w:p>
    <w:p>
      <w:pPr>
        <w:pStyle w:val="Heading2"/>
      </w:pPr>
      <w:r>
        <w:t>Title</w:t>
      </w:r>
    </w:p>
    <w:p>
      <w:r>
        <w:t>Using ChatGPT-4 to generate student‑prompted texts to improve fourth‑grade reading comprehension and motivation: a sequential explanatory mixed‑methods Solomon four‑group study</w:t>
      </w:r>
    </w:p>
    <w:p>
      <w:r>
        <w:t xml:space="preserve"> </w:t>
      </w:r>
    </w:p>
    <w:p>
      <w:pPr>
        <w:pStyle w:val="Heading2"/>
      </w:pPr>
      <w:r>
        <w:t>Short Hypothesis</w:t>
      </w:r>
    </w:p>
    <w:p>
      <w:r>
        <w:t>Fourth‑grade students who read ChatGPT‑4 texts generated from their own prompts will show larger pre→post gains in latent reading comprehension (IRT theta) than students who read matched human‑authored texts.</w:t>
      </w:r>
    </w:p>
    <w:p>
      <w:r>
        <w:t xml:space="preserve"> </w:t>
      </w:r>
    </w:p>
    <w:p>
      <w:pPr>
        <w:pStyle w:val="Heading2"/>
      </w:pPr>
      <w:r>
        <w:t>Related Work</w:t>
      </w:r>
    </w:p>
    <w:p>
      <w:r>
        <w:t>Prior work has tested automated or AI‑assisted text generation for reading practice and reported improvements in motivation and comprehension in some settings. Mixed‑methods studies have shown value in combining quantitative outcome models with classroom observations to explain mechanisms (for example, autonomy and strategy use). Limitations remain: many prior studies use simple pre/post designs without controlling for pretest effects (no Solomon design), lack rigorous multilevel psychometrics (few use IRT linking or DIF checks), do not predefine machine‑safety and PII workflows, and often omit teacher workload and fidelity tradeoffs. Existing LLM work also faces technical issues such as hallucinations, unstable output distributions after model updates, and weak prompt‑quality metrics. Few prior studies tie prompt quality or human‑in‑the‑loop review directly to causal estimates, and most lack reproducible analytic code and pre‑specified multilevel modeling choices.</w:t>
      </w:r>
    </w:p>
    <w:p>
      <w:r>
        <w:t xml:space="preserve"> </w:t>
      </w:r>
    </w:p>
    <w:p>
      <w:pPr>
        <w:pStyle w:val="Heading2"/>
      </w:pPr>
      <w:r>
        <w:t>Abstract</w:t>
      </w:r>
    </w:p>
    <w:p>
      <w:r>
        <w:t>This study evaluates whether texts generated by ChatGPT‑4 from fourth‑grade students' own prompts (prompt‑generated texts, PGTs) cause greater gains in reading comprehension and reading motivation than matched human‑authored texts. We implement a Solomon four‑group sequential explanatory mixed‑methods design with classroom‑level randomization and a linked qualitative case study. The primary outcome is change in latent reading comprehension (IRT theta) estimated from a balanced comprehension battery; secondary outcomes include intrinsic reading motivation, time‑on‑task, and metacognitive strategy use. Contributions: (1) a pre‑registered, multilevel causal test of student‑prompted LLM texts using IRT‑based outcomes, (2) an operational prompt‑quality rubric and human‑in‑the‑loop safety workflow, and (3) mixed‑methods integration tying prompt quality and perceived autonomy to mediation pathways. Expected outcome: clear estimates of the causal effect of PGTs on comprehension and motivation, plus explanatory qualitative evidence about mechanisms and fidelity constraints.</w:t>
      </w:r>
    </w:p>
    <w:p>
      <w:r>
        <w:t xml:space="preserve"> </w:t>
      </w:r>
    </w:p>
    <w:p>
      <w:pPr>
        <w:pStyle w:val="Heading2"/>
      </w:pPr>
      <w:r>
        <w:t>Experiments</w:t>
      </w:r>
    </w:p>
    <w:p>
      <w:r>
        <w:t>Dataset: 106 fourth‑grade students enrolled across multiple classrooms in two public primary schools; classroom is the cluster unit. Design: Solomon four‑group cluster randomized trial (randomize classrooms to one of four arms): A = pretest + PGT intervention + posttest, B = pretest + control texts + posttest, C = PGT intervention + posttest (no pretest), D = control texts + posttest (no pretest). Qualitative nested sample: purposive 8–12 classrooms stratified by baseline reading ability and SES for three waves (pre, mid, post). Baselines: matched human‑authored curriculum texts equalized on length, genre, Lexile band, and scaffold density. Intervention variants: (i) PGT with teacher human‑review, (ii) PGT without teacher review (ablative), (iii) PGT filtered by prompt‑quality threshold (&gt;=14 acceptable vs &lt;14). Evaluation metrics: Primary: change in latent reading‑comprehension (IRT theta). IRT details: 2PL for dichotomous items, graded‑response model (GRM) for polytomous rubrics; estimate student theta by EAP (expected a posteriori). Secondary: intrinsic motivation (adapted IMI items, Likert), time‑on‑task (seconds per passage), metacognitive strategy scale (4 items), prompt‑quality score (0–20 rubric), teacher fidelity score (0–100%), and engagement checklist means. Psychometric checks: marginal EAP reliability target &gt;=0.80, DIF tests for ELL and baseline groups (effect size threshold 0.25 logits). Statistical model: three‑level mixed‑effects model (time within student within classroom). Fixed effects: intercept, time (0=pre,1=post), arm (PGT=1), time×arm (primary), baseline theta, covariates (gender, ELL status, FRPL proxy, special‑education). Random effects: random intercepts for student and classroom; random slope for time at student level. Software and versions: R (lme4 &gt;=1.1‑28 for mixed models; mirt &gt;=1.33 for IRT), optional Bayesian checks with brms &gt;=2.18 / Stan; mice &gt;=3.14 for multilevel multiple imputation (&gt;=50 imputations). Missing data: multilevel MI preserving hierarchy; sensitivity with MNAR delta‑adjustment and pattern‑mixture models. Hypothesis test: two‑sided p&lt;0.05 for primary contrast (time×arm) under ITT; secondary outcomes controlled by Benjamini‑Hochberg FDR. Comparisons and ablations: (1) PGT vs matched control (primary comparison), (2) PGT with human review vs PGT without review (test human‑in‑the‑loop effect), (3) high vs low prompt quality, (4) mediation MSEM testing autonomy -&gt; strategy use -&gt; theta gain. Equivalence and QC checks: compare PGT and control texts on readability (Lexile, Flesch‑Kincaid), average sentence length, vocabulary density, and scaffold count; flag forms failing equivalence for re‑generation. Reporting: report effect sizes (Cohen's d), ICCs, EAP reliability, model coefficients and 95% CIs, and qualitative case study summaries linked to quantitative mediator extremes.</w:t>
      </w:r>
    </w:p>
    <w:p>
      <w:r>
        <w:t xml:space="preserve"> </w:t>
      </w:r>
    </w:p>
    <w:p>
      <w:pPr>
        <w:pStyle w:val="Heading2"/>
      </w:pPr>
      <w:r>
        <w:t>Risk Factors And Limitations</w:t>
      </w:r>
    </w:p>
    <w:p>
      <w:r>
        <w:t>Technical failure modes: LLM hallucinations producing incorrect facts or unsafe content; PII leakage in student prompts; classifier false negatives/positives for safety flags. Data and measurement risks: small sample size and limited schools (two) reduce generalizability beyond the sampled districts; classroom‑level clustering and unequal cluster sizes may reduce power. Psychometric risks: low test information or EAP reliability (&lt;0.80) requiring instrument revision; DIF across ELL or low‑baseline groups undermining comparability. Implementation risks: teacher workload and long review times reducing fidelity; contamination if teachers or students share prompts/texts across arms. Operational risks: model updates changing output distributions between waves (distribution shift), and failures in secure transient storage of raw prompts. Evaluation biases: self‑report motivation scales subject to social desirability; think‑alouds may alter reading behavior. Scalability and compute: repeated generation and monitoring at classroom scale require compute and human review capacity that may not scale without additional resources. Ethical limits: results may not generalize to older grades, different languages, or students with severe reading disabilities.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