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multi-level deep learning framework with advanced acoustic feature engineering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rich acoustic features and accent-aware data augmentation to a deep learning classifier will increase macro F1 for hate speech detection on accented Malayalam spoken utterances by at least 0.05 compared to an MFCC+XGBoost baseline under speaker-independent validation.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spoken hate-speech detection fall into three broad families: text-only pipelines that use automatic speech recognition (ASR) then a text classifier; acoustic-only systems that use low-level features like MFCCs (short for Mel-frequency cepstral coefficients, a compact spectral feature) with classical classifiers; and end-to-end learned representations such as wav2vec2 (a neural audio feature extractor). Limitations of prior work include sensitivity to ASR errors (text-only drops sharply when word error rate increases), limited acoustic feature sets that miss prosody and voice-quality cues, weak handling of accented or dialectal speech, inadequate class-balance strategies, and sparse cross-dataset and speaker-independent evaluation. Many studies also lack rigorous augmentation, poisoning/synthetic safeguards, or reproducible pipelines, which reduces real-world robustness and auditability.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 speech detection in accented Malayalam speech by proposing a multi-level deep learning framework that combines engineered acoustic features, augmentation, class-balancing, and robust evaluation. The system extracts diverse acoustic signals (examples: MFCCs for short-term spectrum, zero-crossing rate for noisiness, mel spectrogram for perceptual energy) and prosodic cues (pitch, jitter) to form multi-level feature vectors. We apply accent-aware augmentations (noise injection, time stretch, pitch shift) and SMOTE (a synthetic minority oversampling method) to reduce class imbalance. Multiple classifiers are evaluated, including 1D-CNN (a convolutional neural network over time), tree ensembles, and learned audio encoders, under stratified, speaker-independent, cross-dataset and noise-perturbed validations. Main contributions are (1) a reproducible feature-rich pipeline for accented speech, (2) a balanced augmentation and synthetic-data governance approach, and (3) a pre-registered multi-regime evaluation matrix to measure robustness. Expected outcome is an auditable model with improved per-accent macro F1 and clearer mappings from ASR error bands to downstream degradation.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corpus with six accent groups × 1,500 utterances = 9,000 total; minimum 200 positive (hate) examples per accent. Splits: deterministic 70/15/15 stratified by accent and label; additional speaker-independent folds where all utterances from held-out speakers form test partitions. Cross-dataset test: evaluate on an external Malayalam speech corpus with different recording conditions. ASR-error simulation: inject controlled WER levels at 10%, 20%, 30%, 40% by random token substitutions/deletions/insertions preserving word-length distributions. Noise perturbation: additive noises at SNR bands {20,10,5} dB and reverberation RT60s {0.2,0.6,1.2}s. Baselines: (a) MFCC + XGBoost (MFCC = spectral features), (b) distilled wav2vec2 + MLP (wav2vec2 = learned audio features), (c) SVM, (d) Random Forest, (e) LightGBM, (f) 1D-CNN trained on acoustic stacks. Proposed variants: acoustic-only, text-only (ASR→text classifier), and multimodal fusion (acoustic + ASR embeddings). Feature sets: ZCR (zero-crossing rate), STFT, MFCC, RMS energy, mel spectrogram, prosody (F0, jitter, shimmer), learned wav2vec2 embeddings. Data augmentation: noise injection, time stretch ±10%, pitch shift ±2 semitones, SpecAugment, and SMOTE for class balance (SMOTE = creates synthetic minority samples). Evaluation metrics: macro F1 (average F1 across classes), AUROC (area under ROC curve, measures ranking quality), per-accent F1, FPR/FNR, Expected Calibration Error (ECE, measures probability calibration). Statistical tests: paired bootstrap for metric differences with 10,000 resamples; adjust p-values with Benjamini-Hochberg to control false discovery rate. Pre-specified minimum detectable effect (MDE): per-accent F1 gap of 0.05 detectable given n_pos=200 with 80% power at alpha=0.05. Reproducibility: fix seeds, DVC-tracked splits, MLflow logging, and Dockerized runs. Ablations: (1) remove prosody features, (2) remove learned embeddings, (3) no augmentation, (4) no SMOTE, (5) text-only vs acoustic-only vs fusion. Reporting: per-regime metric tables, calibration plots, per-accent degradation curves under ASR WER bands, and significance tests.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ASR sensitivity: text-based variants will degrade as WER increases; mapping WER to model drop may be non-linear. Annotation bias: cultural and regional annotator disagreement can introduce label noise and uneven subgroup coverage. Class imbalance: rare hate examples may still be insufficient despite SMOTE; synthetic samples can introduce distribution shift. Synthetic data risks: TTS/VC may alter semantics or create de-identified voices that are still identifiable. Poisoning detection limits: outlier detectors will have false positives/negatives whose acceptable rates must be chosen. Compute and scalability: pilot requires ~100–300 GPU hours and 1–3 TB storage; full HPO or larger-scale training may be infeasible with limited budget. Generalization: models trained on six accents may not transfer to unseen dialects or diasporic variations. Ethical and legal constraints: privacy, consent, and retention rules may restrict data release and reproducibility. Human factors: annotator mental-health burden and IRR thresholds may limit labeling speed and coverage.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