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fuzzy_precautionary_pa_western_taiwan</w:t>
      </w:r>
    </w:p>
    <w:p>
      <w:r>
        <w:t xml:space="preserve"> </w:t>
      </w:r>
    </w:p>
    <w:p>
      <w:pPr>
        <w:pStyle w:val="Heading2"/>
      </w:pPr>
      <w:r>
        <w:t>Title</w:t>
      </w:r>
    </w:p>
    <w:p>
      <w:r>
        <w:t>Fuzzy distinction-based planning of precautionary areas for offshore wind farms along the western Taiwan coast</w:t>
      </w:r>
    </w:p>
    <w:p>
      <w:r>
        <w:t xml:space="preserve"> </w:t>
      </w:r>
    </w:p>
    <w:p>
      <w:pPr>
        <w:pStyle w:val="Heading2"/>
      </w:pPr>
      <w:r>
        <w:t>Short Hypothesis</w:t>
      </w:r>
    </w:p>
    <w:p>
      <w:r>
        <w:t>Using an interval-valued fuzzy distinction method to jointly aggregate AIS, MGIS spatial layers, and wind/hydrological and ecological inputs causes higher detection accuracy (AUC and Jaccard) of high-risk cells for navigation and ecological impact than deterministic GIS overlays or type-1 fuzzy aggregation.</w:t>
      </w:r>
    </w:p>
    <w:p>
      <w:r>
        <w:t xml:space="preserve"> </w:t>
      </w:r>
    </w:p>
    <w:p>
      <w:pPr>
        <w:pStyle w:val="Heading2"/>
      </w:pPr>
      <w:r>
        <w:t>Related Work</w:t>
      </w:r>
    </w:p>
    <w:p>
      <w:r>
        <w:t>Existing approaches to define precautionary zones for offshore wind farms rely mainly on deterministic buffers, rule-based exclusion zones, or multi-criteria decision analysis (MCDA) GIS overlays. MCDA means combining several criteria with fixed weights in geographic information system layers. Other lines of work use probabilistic risk maps from AIS or environmental models, and some studies apply fuzzy logic to capture partial risk. Limitations: buffer and MCDA methods do not propagate input uncertainty and produce hard boundaries; probabilistic maps often focus on a single domain (navigation or ecology) rather than joint risk; most fuzzy implementations use type-1 fuzzy sets that assign a single membership value per cell and therefore under-report uncertainty; thresholds and weights are often set ad hoc with little cross-validation; few works provide spatio-temporal blocked validation or regulator-ready provenance and reproducible pipelines. These gaps leave unresolved issues in uncertainty-aware, joint-domain PA design and auditability.</w:t>
      </w:r>
    </w:p>
    <w:p>
      <w:r>
        <w:t xml:space="preserve"> </w:t>
      </w:r>
    </w:p>
    <w:p>
      <w:pPr>
        <w:pStyle w:val="Heading2"/>
      </w:pPr>
      <w:r>
        <w:t>Abstract</w:t>
      </w:r>
    </w:p>
    <w:p>
      <w:r>
        <w:t>We address the need for uncertainty-aware precautionary area (PA) planning for offshore wind farms along western Taiwan by developing a fuzzy distinction-based spatial model that integrates ship navigation (AIS), ecological sensitivity, and wind/hydrological factors within a marine GIS. The method represents each input as a membership layer (value between 0 and 1) and propagates interval-valued uncertainty through similarity and aggregation operators to produce lower/upper membership bounds, a clarity score, and a distinction degree per grid cell. The main contribution is a defensible, auditable PA mapping workflow that (1) explicitly models input uncertainty, (2) jointly balances navigation and ecological criteria, and (3) yields regulator-ready raster and vector outputs with decision-trigger bands. Expected outcome: PA maps that improve detection of cells needing precautionary measures, quantify boundary ambiguity for adaptive management, and provide verifiable artifacts for environmental review and stakeholder negotiation.</w:t>
      </w:r>
    </w:p>
    <w:p>
      <w:r>
        <w:t xml:space="preserve"> </w:t>
      </w:r>
    </w:p>
    <w:p>
      <w:pPr>
        <w:pStyle w:val="Heading2"/>
      </w:pPr>
      <w:r>
        <w:t>Experiments</w:t>
      </w:r>
    </w:p>
    <w:p>
      <w:r>
        <w:t>Datasets: AIS vessel tracks (Maritime &amp; Port Bureau), VMS/logbook fisheries effort (Fisheries Agency) where available, passive acoustic monitoring presence (PAM) or surveys for key species, high-resolution bathymetry (MBES), HF radar currents, atmospheric/wind model outputs (WRF/LES or WRF downscales), ecological habitat rasters (bird roosts, dolphin sightings, seagrass), protected-area boundaries, and historic incident/near-miss reports. Study areas: Changhua–Taichung pilot sector on a 1 km grid (~10k cells) and a 250 m hotspot subset (~up to 160k cells). Baselines: (A) Deterministic GIS overlay with weighted linear combination and fixed buffers; (B) Type-1 fuzzy aggregation (single-valued membership) using same inputs and weights; (C) Probabilistic risk map built from AIS density alone. Model setup: compute membership μ_j rasters per criterion with interval bounds; implement fuzzy distinction with chosen t-norms (product, Łukasiewicz) and s-norms; perform interval propagation analytically for monotone operators and Monte Carlo (MC) sampling otherwise. Weight learning: hierarchical Bayesian inference (Dirichlet prior) via Hamiltonian Monte Carlo (HMC) with 4 chains, 1000 warmup, 1000 samples. Ensembles: MC propagation with 1000 realizations for uncertainty quantiles; global sensitivity via Sobol with 500 samples. Evaluation metrics: AUC (ROC) and PR-AUC for labeled high-risk cells, Jaccard index for spatial overlap of produced PA zones vs validated impact labels, cell-level Brier score for calibration, uncertainty width (μ_U-μ_L) distribution, decision change rate (fraction of cells crossing operational thresholds), and compute cost (GPU-hours, wall-clock). Validation: spatio-temporal blocked cross-validation with 5 spatial folds (split by contiguous coastal blocks) and 4 temporal folds (seasonal), report mean and 95% CI. Ablation studies: (1) remove interval propagation (type-1 only); (2) remove AIS input; (3) remove wind/hydrodynamic inputs; (4) change t-norm family (product vs Łukasiewicz). Compare baselines and ablations by the full metric set and by regulatory trigger outcomes (e.g., Cl≥0.8). Report per-cell timing and memory for operators using sample job scripts on a container image.</w:t>
      </w:r>
    </w:p>
    <w:p>
      <w:r>
        <w:t xml:space="preserve"> </w:t>
      </w:r>
    </w:p>
    <w:p>
      <w:pPr>
        <w:pStyle w:val="Heading2"/>
      </w:pPr>
      <w:r>
        <w:t>Risk Factors And Limitations</w:t>
      </w:r>
    </w:p>
    <w:p>
      <w:r>
        <w:t>Data access and gaps: AIS and VMS MOUs may be delayed; small craft under-reporting biases navigation layers. Sparse labels: few true incident events can make weight learning and AUC estimates unstable. Operator monotonicity: some chosen t-/s-norms or custom similarity measures may be non-monotone, forcing expensive MC fallback. Compute scale: 250 m grids with MC ensembles require high GPU-hours and memory, limiting turnaround. Synthetic fallback risk: surrogate data may not capture real-world biases and can mislead model calibration. Regulatory mapping limits: mapping fuzzy outputs to legally binding thresholds may face interpretation challenges. Social acceptance: stakeholders (fishers, local communities) may dispute weight priors or triggers. Generalization: models tuned to Changhua–Taichung may not transfer to other regions without re-elicitation and new data. Evaluation bias: validation using reported incidents may under-represent unreported ecological impacts.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