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dance_therapy_rehab_bibliometrics</w:t>
      </w:r>
    </w:p>
    <w:p>
      <w:r>
        <w:t xml:space="preserve"> </w:t>
      </w:r>
    </w:p>
    <w:p>
      <w:pPr>
        <w:pStyle w:val="Heading2"/>
      </w:pPr>
      <w:r>
        <w:t>Title</w:t>
      </w:r>
    </w:p>
    <w:p>
      <w:r>
        <w:t>Longitudinal bibliometric mapping and reproducible trend analysis of dance therapy in rehabilitation (2000–2024)</w:t>
      </w:r>
    </w:p>
    <w:p>
      <w:r>
        <w:t xml:space="preserve"> </w:t>
      </w:r>
    </w:p>
    <w:p>
      <w:pPr>
        <w:pStyle w:val="Heading2"/>
      </w:pPr>
      <w:r>
        <w:t>Short Hypothesis</w:t>
      </w:r>
    </w:p>
    <w:p>
      <w:r>
        <w:t>Applying field-normalized bibliometric indicators with robust change-point detection will identify at least one statistically significant structural break in annual publication counts for dance therapy in rehabilitation between 2000 and 2024 that is not detected by a naive linear trend model.</w:t>
      </w:r>
    </w:p>
    <w:p>
      <w:r>
        <w:t xml:space="preserve"> </w:t>
      </w:r>
    </w:p>
    <w:p>
      <w:pPr>
        <w:pStyle w:val="Heading2"/>
      </w:pPr>
      <w:r>
        <w:t>Related Work</w:t>
      </w:r>
    </w:p>
    <w:p>
      <w:r>
        <w:t>Prior work has applied bibliometric methods to dance therapy and rehabilitation showing increasing publications and interest in emotional and cognitive benefits and movement integration. Existing studies often use single tools or databases, report raw counts or simple citation tallies, and produce static network visuals. Limitations include English-language and index coverage bias, lack of field or year normalization for citations, minimal uncertainty quantification, sparse use of robust change-point and burst detection, and limited reproducibility (few share full code, seeds, or environment). Few studies combine advanced NLP topic modeling, disambiguated network analysis, and pre-specified statistical trend models with sensitivity analyses across search variants and counting methods.</w:t>
      </w:r>
    </w:p>
    <w:p>
      <w:r>
        <w:t xml:space="preserve"> </w:t>
      </w:r>
    </w:p>
    <w:p>
      <w:pPr>
        <w:pStyle w:val="Heading2"/>
      </w:pPr>
      <w:r>
        <w:t>Abstract</w:t>
      </w:r>
    </w:p>
    <w:p>
      <w:r>
        <w:t>We present a reproducible, longitudinal bibliometric study of research on dance therapy in rehabilitation from 2000 to 2024. The approach integrates multi-source retrieval, deterministic deduplication and author disambiguation, field-year normalized citation metrics, robust count regression, multiple change-point detectors, time-series forecasting, and topic and network models. Main contributions are: (1) a reproducible pipeline with seeds and containerized environment; (2) triangulated trend inference using Poisson/negative-binomial models, bootstrap CAGR with confidence intervals, and multiple change-point methods to report concordant break dates; and (3) combined NLP and network outputs that map thematic evolution and collaboration patterns with uncertainty estimates. Expected outcomes include precise annual growth estimates with uncertainty, validated change-point dates, normalized impact profiles for authors and institutions, and interactive visualizations to guide research priorities and a core outcome set. The pipeline is designed for transparency, sensitivity testing (non-English, gray literature, dedup thresholds), and direct reuse by the community.</w:t>
      </w:r>
    </w:p>
    <w:p>
      <w:r>
        <w:t xml:space="preserve"> </w:t>
      </w:r>
    </w:p>
    <w:p>
      <w:pPr>
        <w:pStyle w:val="Heading2"/>
      </w:pPr>
      <w:r>
        <w:t>Experiments</w:t>
      </w:r>
    </w:p>
    <w:p>
      <w:r>
        <w:t>Datasets: Web of Science Core Collection export; Scopus export; PubMed/MEDLINE; Embase; CINAHL; ClinicalTrials.gov; medRxiv; LILACS; CNKI; African Index Medicus; and captured gray literature (institutional reports). Archive all raw exports with retrieval dates. Deduplication and provenance: DOI exact-match then fuzzy title+first-author (Levenshtein/Jaro-Winkler) with thresholds 0.90 (auto-merge) and 0.80-0.90 (manual). Author disambiguation: ORCID prioritization plus composite score (ORCID,email,name,affiliation). Tools: R (bibliometrix, MASS, pscl, forecast, changepoint, brms), Python (sentence-transformers, BERTopic, Gensim), VOSviewer/Gephi for visuals. Baselines: (A) naive linear regression on annual raw counts; (B) simple annual counts + raw citation totals; (C) single-tool bibliometrix pipeline without normalization. Proposed pipeline: multi-source normalized workflow with field-year geometric means, Hazen percentile ranks, Poisson/negative-binomial GLMs with Dean's overdispersion test, bootstrap (10,000 resamples, seed=42) for CAGR CIs, ARIMA/ETS and Bayesian state-space forecasting (brms) for 3-year forecasts. Change-point detection: PELT (changepoint package) with BIC tuning, segmented regression with Davies test, Bayesian change-point (bcp/brms); report break dates only if at least two methods agree within ±1 year. Topic modeling: LDA (Gensim) and BERTopic (sentence-transformers all-mpnet-base-v2, seed=42) with topic grid 5–50; evaluate coherence (C_V, UMass) and stability (Jaccard overlap of top terms across seeds). Network analysis: co-authorship, citation, bibliographic coupling and keyword co-occurrence; metrics: degree, betweenness, eigenvector centrality, modularity (Louvain/Leiden). Evaluation metrics: model fit AICc/WAIC/LOO, forecast RMSE and coverage of 80%/95% intervals, CAGR CI width, change-point concordance rate, topic coherence scores, topic stability Jaccard, modularity score, centrality rank stability, and reproducibility checklist pass/fail (seeds, environment, archived outputs). Statistical testing: IRR per year with robust clustered SEs, p-values α=0.05, Mann-Kendall and Sen's slope as nonparametric confirmation. Ablations and sensitivity studies: (1) remove non-English sources; (2) exclude preprints/gray literature; (3) change dedup threshold 0.95 vs 0.90; (4) fractional vs full counting for authors/institutions; (5) embedding model swap (all-mpnet-base-v2 vs all-MiniLM-L6-v2); (6) topic method swap (LDA vs BERTopic). For each ablation report shifts in IRR, break dates, topic coherence, modularity, and forecast errors. Reproducibility setup: provide renv lockfile, Docker image, random seeds, and an OSF archive with code, config files, and unit tests.</w:t>
      </w:r>
    </w:p>
    <w:p>
      <w:r>
        <w:t xml:space="preserve"> </w:t>
      </w:r>
    </w:p>
    <w:p>
      <w:pPr>
        <w:pStyle w:val="Heading2"/>
      </w:pPr>
      <w:r>
        <w:t>Risk Factors And Limitations</w:t>
      </w:r>
    </w:p>
    <w:p>
      <w:r>
        <w:t>Incomplete retrieval due to vendor license limits or database gaps may bias coverage toward indexed and English-language sources. Author disambiguation errors can distort co-authorship networks and centrality measures. Topic models can be unstable: small changes in preprocessing or seed can change topics (this is normal). Sparse subgroup data (for specific diagnoses or LMIC studies) may prevent reliable pooling or forecasts; results for small groups will have large uncertainty. Citation normalization depends on correct field-year assignment; misclassification alters normalized scores. Change-point detectors can disagree; concordance rule may still miss subtle shifts. Forecasting beyond short horizons risks overfitting, especially with few annual counts. Large embedding grids and bootstrap resampling require substantial compute and memory; resource limits could force smaller grids. Ethical/data governance constraints (PII, GDPR, vendor terms) may limit public sharing of some metadata. Results generalize to the literature indexed and retrieved; nonindexed cultural or local practice reports may be underrepresented.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