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comparative_aesthetics_islam_observed</w:t>
      </w:r>
    </w:p>
    <w:p>
      <w:r>
        <w:t xml:space="preserve"> </w:t>
      </w:r>
    </w:p>
    <w:p>
      <w:pPr>
        <w:pStyle w:val="Heading2"/>
      </w:pPr>
      <w:r>
        <w:t>Title</w:t>
      </w:r>
    </w:p>
    <w:p>
      <w:r>
        <w:t>Multimodal computational quantification of comparativeness in Islamic texts and material culture in Morocco and Indonesia</w:t>
      </w:r>
    </w:p>
    <w:p>
      <w:r>
        <w:t xml:space="preserve"> </w:t>
      </w:r>
    </w:p>
    <w:p>
      <w:pPr>
        <w:pStyle w:val="Heading2"/>
      </w:pPr>
      <w:r>
        <w:t>Short Hypothesis</w:t>
      </w:r>
    </w:p>
    <w:p>
      <w:r>
        <w:t>A supervised Comparativeness Index that combines annotated device counts weighted by intensity and a Cross-Modal Echo Score will correlate more strongly with expert panel ratings (higher Spearman r) than an unweighted device-frequency baseline on held-out multimodal instances.</w:t>
      </w:r>
    </w:p>
    <w:p>
      <w:r>
        <w:t xml:space="preserve"> </w:t>
      </w:r>
    </w:p>
    <w:p>
      <w:pPr>
        <w:pStyle w:val="Heading2"/>
      </w:pPr>
      <w:r>
        <w:t>Related Work</w:t>
      </w:r>
    </w:p>
    <w:p>
      <w:r>
        <w:t>Prior work includes qualitative comparative methods in anthropology and literary studies that identify aesthetic devices (analogy, juxtaposition, paired motifs) and recent computational approaches for multimodal alignment and retrieval. Existing computational pipelines use single‑modality indices (textual frequency counts or image motif matching) or off‑the‑shelf multimodal encoders (CLIP-style) for cross-modal retrieval. Limitations: (1) no formal, testable index for "comparativeness" that combines device type, intensity, directionality, and cross-modal echoes; (2) weak integration of ethnographic/contextual evidence into model training; (3) OCR/HTR and script variability are handled piecemeal, reducing downstream annotation quality; (4) small or poorly stratified held‑out validation sets limit claims about regional or genre generalization; (5) reproducibility artifacts (fixed seeds, container images, DVC manifests) and explicit bias diagnostics are often missing. These gaps make it hard to validate whether computational measures capture the culturally meaningful idea of comparativeness across regions and modalities.</w:t>
      </w:r>
    </w:p>
    <w:p>
      <w:r>
        <w:t xml:space="preserve"> </w:t>
      </w:r>
    </w:p>
    <w:p>
      <w:pPr>
        <w:pStyle w:val="Heading2"/>
      </w:pPr>
      <w:r>
        <w:t>Abstract</w:t>
      </w:r>
    </w:p>
    <w:p>
      <w:r>
        <w:t>We address the problem of measuring "comparativeness"—a relational aesthetic practice that juxtaposes anchors and comparees across text, image, space, and performance—by proposing a multimodal computational pipeline that quantifies device use, intensity, and cross‑modal echoes. Our approach defines a machine‑readable Comparativeness Index (CI) that aggregates annotated device occurrences weighted by function and intensity and integrates a Cross‑Modal Echo Score (CMES) computed from joint text–image embeddings. The main contribution is a validated, reproducible CI+CMES framework that links human expert judgments to automated scores and supports stratified comparisons across Morocco and Indonesia. We evaluate against unweighted baselines, text‑only indices, and image‑only measures on a stratified multimodal corpus with held‑out expert ratings. Expected outcomes are: (1) a formal CI formula and intensity rubric; (2) evidence that CI+CMES better predicts expert ratings than baselines; and (3) reproducible artifacts (codebook, exemplar TEI/IIIF fragments, trained checkpoints, and evaluation notebooks) to enable follow-up study.</w:t>
      </w:r>
    </w:p>
    <w:p>
      <w:r>
        <w:t xml:space="preserve"> </w:t>
      </w:r>
    </w:p>
    <w:p>
      <w:pPr>
        <w:pStyle w:val="Heading2"/>
      </w:pPr>
      <w:r>
        <w:t>Experiments</w:t>
      </w:r>
    </w:p>
    <w:p>
      <w:r>
        <w:t>Dataset: pilot corpus = 800 texts + 2000 images + 400 audio/video across Andalusian, Ottoman, Mughal, Malay strata; stratify by region×genre×period. Hold-out expert validation set: N=600 stratified instances (150 per region) for CI/CMES tests. Annotation: dual independent annotation on all training instances with layers (device type, directionality, intensity, function, provenance); adjudication by third annotator if core-layer disagreement. Train/val/test split: 70/15/15 stratified by region×genre×period with fixed seed (seed=42). Baselines: (B1) unweighted device-frequency index (sum of device counts); (B2) text-only weighted index (no CMES); (B3) image-only motif alignment score; (B4) random baseline. Models: text encoders AraBERT v2 and XLM-R (base) fine-tuned with LR ∈ {1e-5,3e-5,5e-5}, batch ∈ {16,32}, epochs 3–5; multimodal encoder OpenCLIP ViT‑B/32 with ResNet‑50 image backbone; fixed seeds and container images recorded. Evaluation metrics: Spearman correlation r between CI and expert ratings (primary), intraclass correlation ICC for inter-rater reliability, Cohen’s kappa for annotation qualification, F1 for intertextual detection, retrieval@10, precision@k, mean average precision (mAP) for CMES retrieval, and ROC AUC for binary detection tasks. Statistical tests: bootstrap 95% CIs, Fisher r-to-z test for correlation differences, and permutation tests for retrieval improvements. Comparativeness Index (CI) formula (machine‑readable): For instance i, let O_i be annotated occurrences. Each occurrence o has function f(o) ∈ {legitimation, pedagogy, boundary, affect}, intensity s(o) ∈ {1,2,3} (weak=1, medium=2, strong=3), and direction dir(o) ∈ {-1,0,1} where 1=A&gt;B, -1=A&lt;B, 0=equative/neutral. Let W(f) be function weights (default W(legit)=2.0, W(ped)=1.5, W(bound)=1.2, W(affect)=1.0). Define gamma_dir ≥0 to increase weight when direction is present (default gamma_dir=0.2). Raw score: raw_i = sum_{o∈O_i} W(f(o)) * s(o) * (1 + gamma_dir * |dir(o)|). Normalize across training set using min–max: CI_i = (raw_i - min_raw_train) / (max_raw_train - min_raw_train). Directionality options: (a) modular (use |dir| as above); (b) signed variant for valence analyses: raw_signed_i = sum W(f) * s * dir, kept separate for signed effects. Worked CI examples (step-by-step): Example 1 (two occurrences): (1) Occurrence A: function=legit (W=2.0), intensity=3, dir=1 =&gt; contribution = 2.0*3*(1+0.2*1)=2.0*3*1.2=7.2. (2) Occurrence B: function=pedagogy (W=1.5), intensity=2, dir=0 =&gt; contribution =1.5*2*(1+0)=3.0. raw=10.2. If min_raw_train=0 and max_raw_train=20 then CI=10.2/20=0.51. Example 2 (image–text echo): One paired motif (boundary, W=1.2, intensity=2, dir=1) and one analogy (legit, W=2.0, intensity=1, dir=0): contributions =1.2*2*1.2=2.88 and 2.0*1*1=2.0 =&gt; raw=4.88 =&gt; CI=4.88/20=0.244. Example 3 (directional negative weight test using signed variant): two occurrences both same function=affect (W=1.0), s=3, dirs = +1 and -1 =&gt; raw_signed =1.0*3*1 + 1.0*3*(-1)=0 =&gt; CI_signed=0 after separate normalization. Ablation studies: (A1) remove intensity weights (set s(o)=1) vs full CI; (A2) remove CMES (text-only CI) vs full CI; (A3) signed vs modular directionality; (A4) normalization method: min–max vs z-score. For CMES: train joint encoders and compute cosine similarity between passage and motif region embeddings; evaluate retrieval@10, mAP and correlation with expert echo judgments. Power and sampling notes: to detect correlation r=0.30 with power 0.80 and alpha=0.05 requires n≈85 per test; we use 150 per region to allow region-wise detection and leave-one-region-out analyses. Reproducibility artifacts: record fixed seeds, container images (Dockerfile hash), DVC manifests, model checkpoints, hyperparameter ranges, and one end-to-end evaluation notebook covering data ingestion → annotation example → CI computation → correlation tests.</w:t>
      </w:r>
    </w:p>
    <w:p>
      <w:r>
        <w:t xml:space="preserve"> </w:t>
      </w:r>
    </w:p>
    <w:p>
      <w:pPr>
        <w:pStyle w:val="Heading2"/>
      </w:pPr>
      <w:r>
        <w:t>Risk Factors And Limitations</w:t>
      </w:r>
    </w:p>
    <w:p>
      <w:r>
        <w:t>Technical failure modes: OCR/HTR errors for degraded, hybrid, or low-resource scripts will reduce annotation quality and bias CI estimates; multimodal alignment can fail when motifs are abstract or low-contrast. Data and evaluation biases: stratification may still miss local genres or sectarian practices; expert panel opinions can be idiosyncratic and introduce weighting bias. Scalability and compute: full multimodal fine‑tuning and embedding computations require large GPU budgets (projected tens of thousands of GPU hours); limited compute will constrain model size and retraining cadence. Limits to generalization: CI and CMES trained on Morocco/Indonesia strata may not generalize to other regions or modern digital practices without reannotation and domain adaptation. Annotation labor constraints: dual annotation plus adjudication is time-consuming; backlogs can grow and slow iteration. Measurement limits: intensity gradations and directionality are partly subjective and may produce lower inter‑annotator reliability for complex rhetorical cases. Security and sensitivity: restricted or sacred items pose access and consent constraints that can limit available training data and external replication.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