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thermalscapes_shading_cuiaba</w:t>
      </w:r>
    </w:p>
    <w:p>
      <w:r>
        <w:t xml:space="preserve"> </w:t>
      </w:r>
    </w:p>
    <w:p>
      <w:pPr>
        <w:pStyle w:val="Heading2"/>
      </w:pPr>
      <w:r>
        <w:t>Title</w:t>
      </w:r>
    </w:p>
    <w:p>
      <w:r>
        <w:t>Ethnography and participatory biosensing study of informal shading effects on thermal comfort in an urban retail centre</w:t>
      </w:r>
    </w:p>
    <w:p>
      <w:r>
        <w:t xml:space="preserve"> </w:t>
      </w:r>
    </w:p>
    <w:p>
      <w:pPr>
        <w:pStyle w:val="Heading2"/>
      </w:pPr>
      <w:r>
        <w:t>Short Hypothesis</w:t>
      </w:r>
    </w:p>
    <w:p>
      <w:r>
        <w:t>Informal shading structures reduce standing mean radiant temperature (MRT) at pedestrian height by at least 1.0°C and increase the fraction of time occupants fall within UTCI-defined comfort thresholds by at least 10% during peak daytime heat.</w:t>
      </w:r>
    </w:p>
    <w:p>
      <w:r>
        <w:t xml:space="preserve"> </w:t>
      </w:r>
    </w:p>
    <w:p>
      <w:pPr>
        <w:pStyle w:val="Heading2"/>
      </w:pPr>
      <w:r>
        <w:t>Related Work</w:t>
      </w:r>
    </w:p>
    <w:p>
      <w:r>
        <w:t>Existing work combines urban climatology, remote sensing, and building-energy modelling to measure shading and cooling benefits, and separate social-science studies document vendor practices and informal infrastructure. Remote-sensing and UAV studies map surface temperature and large shade features but often lack ground-level mean radiant temperature (MRT) measurements and lived experience data. Sensor-network microclimate studies provide high-frequency MRT and air-temperature data but have limited ethnographic coverage and weak protocols for ML-derived shade labels and uncertainty propagation. Energy-model coupling studies estimate cooling savings but commonly assume idealized MRT transfers and ignore informal labor dynamics. Prior ML approaches detect shade from imagery but often lack inter-annotator validation, class-balance handling, and methods to pass ML uncertainty into causal microclimate models. Privacy and governance practices for UAV and biosensing data are inconsistently applied in prior work.</w:t>
      </w:r>
    </w:p>
    <w:p>
      <w:r>
        <w:t xml:space="preserve"> </w:t>
      </w:r>
    </w:p>
    <w:p>
      <w:pPr>
        <w:pStyle w:val="Heading2"/>
      </w:pPr>
      <w:r>
        <w:t>Abstract</w:t>
      </w:r>
    </w:p>
    <w:p>
      <w:r>
        <w:t>Cities with hot tropical centres host informal shading (awnings, umbrellas, tarps) that may alter local thermal conditions and affect shoppers and vendors. This study investigates how informal shading changes microclimate and perceived comfort in a hot Brazilian retail centre using an integrated method: ethnographic observation, participatory biosensing (wearable temperature/heart-rate), co-located fixed microstations (air temperature, globe temperature for MRT, wind, humidity), UAV thermal/RGB mapping, LiDAR morphometrics, and plug-load logging for anthropogenic heat. Main contributions are (1) a reproducible field protocol combining social logs with high-resolution MRT and thermal imagery, (2) an ML pipeline for detecting informal shade with quantified annotation agreement and uncertainty, and (3) a causal analysis (difference-in-differences and hierarchical spatio-temporal models) that propagates sensor and ML uncertainty into estimates of thermal benefit and building cooling-energy impacts. Expected outcomes include defensible effect sizes of informal shading on MRT and comfort, validated ML shade maps, and uncertainty-aware energy-savings bounds to inform equitable urban policy.</w:t>
      </w:r>
    </w:p>
    <w:p>
      <w:r>
        <w:t xml:space="preserve"> </w:t>
      </w:r>
    </w:p>
    <w:p>
      <w:pPr>
        <w:pStyle w:val="Heading2"/>
      </w:pPr>
      <w:r>
        <w:t>Experiments</w:t>
      </w:r>
    </w:p>
    <w:p>
      <w:r>
        <w:t>Datasets: (a) Paired microstation time series: 24 sites (12 shaded/unshaded pairs) at 5-minute resolution including air temperature (aspirated sensor), globe temperature (50 mm black globe for MRT), 3D wind, RH, and pyranometer; pre-intervention baseline ≥14 days, pilot 2 weeks, main campaign 4–6 weeks. (b) UAV orthomosaics: thermal infrared + RGB at solar noon, late afternoon, and post-sunset; 2,000–5,000 annotated tiles with polygon labels and typologies. (c) LiDAR point clouds for sky view factor (SVF) and obstruction angles. (d) 30 plug-loggers on stalls, thermal snapshots, and pedestrian occupancy blob counts. (e) Ethnographic logs: time-use diaries, 20–30 interviews, photovoice deployment logs. Baselines: (1) Unshaded paired controls, (2) remote-sensing-only temperature maps, (3) microclimate models without ML shade covariates. Metrics: ΔMRT (°C), Δair temperature (°C), change in percent time within UTCI comfort bands (UTCI: universal thermal climate index; a thermal comfort metric), RMSE and MAE for temperature predictions, ML metrics: IoU (intersection-over-union) for polygons, Cohen’s kappa for annotator agreement, balanced accuracy and per-class recall, Energy metrics: percent cooling-energy change from EnergyPlus archetype runs, 90% uncertainty interval coverage. Experimental setup: Synchronize all timestamps to UTC, aggregate to 5- or 10-minute bins; compute MRT via ISO 7726 globe equation (include wind correction). Causal tests: difference-in-differences (DiD) with day fixed effects and nonlinear time trends (e.g., splines), event-study lead/lag plots, and linear mixed-effects models with AR(1) residuals and site random effects. Spatial prediction: hierarchical Bayesian spatio-temporal model (SPDE/INLA) with clustered spatial k-fold cross-validation and temporal holdouts. ML training: leave-one-area-out folds, data augmentation for lighting, class-imbalance handled by class weighting or SMOTE, inter-annotator agreement computed (Cohen’s kappa, IoU). Uncertainty propagation: Monte Carlo resampling ≥5,000 draws sampling sensor error distributions and ML label probabilities (use ensemble soft-labels), then re-estimate DiD and energy-model ensembles. Ablations: (A1) full model with ML shade covariate and anthropogenic-heat controls, (A2) drop ML shade covariate, (A3) drop anthropogenic-heat covariates, (A4) deterministic ML labels instead of probabilistic labels. Validation: randomization inference clustered by street-block, synthetic sensor-dropout experiments, and energy-model sensitivity matrix across HVAC COP 2.0–4.0 and envelope U-value bands.</w:t>
      </w:r>
    </w:p>
    <w:p>
      <w:r>
        <w:t xml:space="preserve"> </w:t>
      </w:r>
    </w:p>
    <w:p>
      <w:pPr>
        <w:pStyle w:val="Heading2"/>
      </w:pPr>
      <w:r>
        <w:t>Risk Factors And Limitations</w:t>
      </w:r>
    </w:p>
    <w:p>
      <w:r>
        <w:t>Technical failure modes: sensor drift, globe contamination, UAV thermal calibration errors (emissivity and reflected-temperature mis-spec), and data loss from theft or telemetry failure. ML risks: low inter-annotator agreement, class imbalance (rare shade types), and domain shift across lighting or seasons leading to poor generalization. Causal inference limits: unmeasured confounders (short-term cloud cover, sudden crowding, temporary market events) and spatial spillovers where shading at one site affects adjacent controls. Data biases: sample restricted to one city centre (Cuiabá) limits external validity to other climates or urban forms. Compute and scalability: Bayesian spatio-temporal models and Monte Carlo propagation with ≥5,000 draws are computationally intensive and may require HPC resources. Ethical/privacy limits: incidental capture of bystanders in UAV imagery and biosensor data creates governance constraints on data sharing and public release. Energy-model coupling limits: translating MRT and sky longwave to zone-level radiant fractions requires assumptions that may not hold across diverse building envelopes, limiting precision of cooling-energy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