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spanish_wineries_resilience</w:t>
      </w:r>
    </w:p>
    <w:p>
      <w:r>
        <w:t xml:space="preserve"> </w:t>
      </w:r>
    </w:p>
    <w:p>
      <w:pPr>
        <w:pStyle w:val="Heading2"/>
      </w:pPr>
      <w:r>
        <w:t>Title</w:t>
      </w:r>
    </w:p>
    <w:p>
      <w:r>
        <w:t>Estimating how firm attributes and environmental and market shocks shape robustness, adaptability, and transformability of Spanish wineries using OLS, staggered difference-in-differences event-study and a Bayesian latent-factor resilience index</w:t>
      </w:r>
    </w:p>
    <w:p>
      <w:r>
        <w:t xml:space="preserve"> </w:t>
      </w:r>
    </w:p>
    <w:p>
      <w:pPr>
        <w:pStyle w:val="Heading2"/>
      </w:pPr>
      <w:r>
        <w:t>Short Hypothesis</w:t>
      </w:r>
    </w:p>
    <w:p>
      <w:r>
        <w:t>Stronger cooperative governance (larger contingency funds per member, greater shared storage, higher meeting frequency) causally reduces the negative impact of climate and market shocks on wineries' cash-flow declines and shortens months-to-recovery.</w:t>
      </w:r>
    </w:p>
    <w:p>
      <w:r>
        <w:t xml:space="preserve"> </w:t>
      </w:r>
    </w:p>
    <w:p>
      <w:pPr>
        <w:pStyle w:val="Heading2"/>
      </w:pPr>
      <w:r>
        <w:t>Related Work</w:t>
      </w:r>
    </w:p>
    <w:p>
      <w:r>
        <w:t>Existing approaches to studying resilience in rural agro-industries include standard regression (OLS) for cross-sectional associations; difference-in-differences (DiD) and event-study methods for quasi-experimental shock identification; instrumental variables (IV) for addressing endogeneity; Bayesian latent-variable models for combining heterogeneous indicators into indices; agent-based models (ABM) for simulating system dynamics; and social-network analysis (SNA) to measure collaboration and redundancy. Limitations across these approaches are: OLS and simple DiD can suffer from omitted-variable bias and weak pre-trends; staggered treatment timing can bias estimates if not corrected (recent methods like Sun–Abraham are needed); many IVs are weak or have unclear exclusion paths; Bayesian indices often lack out-of-sample validation; ABMs can be sensitive to poorly calibrated behavioral rules; and SNA outputs raise privacy and anonymization challenges for data sharing. Few studies combine panel survey data, sentinel sensor validation, preregistration, and formal power/MDE reporting.</w:t>
      </w:r>
    </w:p>
    <w:p>
      <w:r>
        <w:t xml:space="preserve"> </w:t>
      </w:r>
    </w:p>
    <w:p>
      <w:pPr>
        <w:pStyle w:val="Heading2"/>
      </w:pPr>
      <w:r>
        <w:t>Abstract</w:t>
      </w:r>
    </w:p>
    <w:p>
      <w:r>
        <w:t>We analyze how internal characteristics of wineries (size, governance, innovation, rural commitment) interact with economic, environmental and social shocks to determine three resilience capacities—robustness, adaptability and transformability—using a survey of 411 Spanish wineries, sentinel sensor data, geospatial exposure layers and econometric modeling. Our method triangulates ordinary least squares (OLS) regressions, staggered difference-in-differences event-study estimators with Sun–Abraham correction, IV checks using exogenous climate anomalies, and a Bayesian latent-factor model that produces a posterior-distributed resilience index. We pre-register shock definitions and estimands, validate financial and yield measures with DO ledgers and remote sensing, and calibrate an agent-based model on sentinel sites for scenario ranking of interventions. The main contribution is an evidence-backed mapping from firm-level attributes and perceived challenges to measurable resilience outcomes, plus a prioritized toolkit of cooperative and agronomic interventions. Expected impact: clearer, testable policy prescriptions for DOs and cooperatives and reproducible data products to support rural agro-industry resilience planning.</w:t>
      </w:r>
    </w:p>
    <w:p>
      <w:r>
        <w:t xml:space="preserve"> </w:t>
      </w:r>
    </w:p>
    <w:p>
      <w:pPr>
        <w:pStyle w:val="Heading2"/>
      </w:pPr>
      <w:r>
        <w:t>Experiments</w:t>
      </w:r>
    </w:p>
    <w:p>
      <w:r>
        <w:t>Datasets: (1) Baseline survey of N=411 wineries with modules on firm traits, governance, perceived shocks, practices, SNA ego-ties, and objective financials; (2) Follow-up panel wave targeting N≈300; (3) Sentinel set of 4–6 DOs with 4–6 instrumented vineyards each (soil moisture, leaf wetness, microclimate); (4) GIS/climate layers (ERA5, E-OBS SPEI3/12, Tmax, Sentinel-2 NDVI) and DO administrative sales ledgers where available. Baselines: (A) OLS with basic covariates; (B) OLS with firm and time fixed effects; (C) staggered DiD/event-study (Sun–Abraham correction); (D) IV DiD using localized precipitation/frost anomalies; (E) Bayesian latent-factor resilience index; (F) ABM calibrated on sentinel data. Metrics: primary: ATE on cash-flow change (%) and ATT on months-to-recovery (survival/time-to-event); secondary: export revenue share; statistical: first-stage F-statistic, partial R2, clustered SEs, RMSE, MDE (minimum detectable effect) in SD units, posterior predictive checks (PPC) for Bayesian model, AUC for binary recovery. Experimental setup: preregister shock windows (SPEI3 ≤ -1.0/-1.5, Tmax&gt;35°C, frost ±10d budburst, price-collapse thresholds), estimate models with winery and time fixed effects and covariates (size, pre-trend yields, network centrality). IV diagnostics: require F&gt;10 or report weak-IV robust CIs. Validation: cross-validate Bayesian index via k-fold and out-of-sample sentinel holdouts; compare sensor-derived yield anomalies to reported yields. Ablations: (1) omit cooperative governance moderator; (2) replace cumulative exposure index with alternative weightings (equal, Dirichlet-data-driven, and sensitivity grid); (3) run models without SNA controls; (4) compare OLS vs DiD vs IV vs synthetic control if applicable. Robustness checks: placebo shock leads, spatial placebos, entropy/propensity-score balancing, and multiple-testing correction using a pre-specified gatekeeping hierarchy and Benjamini–Hochberg for secondary outcomes. Reproducibility: release analysis scripts with random seeds for Bayesian and ABM runs and provide MDE tables by strata (region, DO, firm-type).</w:t>
      </w:r>
    </w:p>
    <w:p>
      <w:r>
        <w:t xml:space="preserve"> </w:t>
      </w:r>
    </w:p>
    <w:p>
      <w:pPr>
        <w:pStyle w:val="Heading2"/>
      </w:pPr>
      <w:r>
        <w:t>Risk Factors And Limitations</w:t>
      </w:r>
    </w:p>
    <w:p>
      <w:r>
        <w:t>Nonresponse and selection bias from low survey participation or differential attrition across firm types. Measurement error in self-reported financials if DO ledgers or bank snapshots are unavailable. Weak or invalid instruments: climate instruments may violate exclusion if they affect outcomes through omitted channels. Pre-trend violations in staggered DiD causing biased event-study estimates. Sentinel sensor failures or missing sensor time-series. Privacy and legal constraints (GDPR) blocking access to admin or bank data. Small sample sizes within strata producing large MDEs and low power for subgroup analysis (e.g., specific DOs). Social-network anonymization may reduce analysis utility due to edge perturbation. Computational cost and convergence issues for Bayesian MCMC or ABM ensemble calibration. Limited generalizability beyond Spanish DOs and the study period; ecological and market conditions may change, limiting external validity.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