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fruit_voucher_rct_nigeria_vietnam</w:t>
      </w:r>
    </w:p>
    <w:p>
      <w:r>
        <w:t xml:space="preserve"> </w:t>
      </w:r>
    </w:p>
    <w:p>
      <w:pPr>
        <w:pStyle w:val="Heading2"/>
      </w:pPr>
      <w:r>
        <w:t>Title</w:t>
      </w:r>
    </w:p>
    <w:p>
      <w:r>
        <w:t>Randomized controlled trial of fruit vouchers to increase fruit affordability and consumption among peri-urban and urban households in Nigeria and Vietnam</w:t>
      </w:r>
    </w:p>
    <w:p>
      <w:r>
        <w:t xml:space="preserve"> </w:t>
      </w:r>
    </w:p>
    <w:p>
      <w:pPr>
        <w:pStyle w:val="Heading2"/>
      </w:pPr>
      <w:r>
        <w:t>Short Hypothesis</w:t>
      </w:r>
    </w:p>
    <w:p>
      <w:r>
        <w:t>Providing vouchers that lower the effective price of fruits to peri-urban and urban households in Nigeria and Vietnam increases per-capita fruit consumption (servings per person per day) relative to no vouchers.</w:t>
      </w:r>
    </w:p>
    <w:p>
      <w:r>
        <w:t xml:space="preserve"> </w:t>
      </w:r>
    </w:p>
    <w:p>
      <w:pPr>
        <w:pStyle w:val="Heading2"/>
      </w:pPr>
      <w:r>
        <w:t>Related Work</w:t>
      </w:r>
    </w:p>
    <w:p>
      <w:r>
        <w:t>Existing approaches test cash transfers, in-kind food subsidies, or price subsidies to change diets, and some randomized trials have evaluated vouchers or subsidies for specific foods. Prior work shows that lowering prices or providing transfers can increase purchases but often has limitations: short follow-up periods, reliance on self-reported intake without biomarkers, weak attention to local market supply responses (price pass-through and stockouts), insufficient spatial controls causing unmeasured spillovers, limited fraud controls in low-connectivity settings, and small sample sizes that limit detectable nutrition effects. Behavioral variants (timing, messaging, conditionality) are sometimes studied but often underpowered or not pre-specified. Biomarker validation in field settings is inconsistent, particularly for dried blood spots (DBS) measuring ferritin and vitamin A markers. Cost-effectiveness and budget-impact analyses are frequently absent or simplified, reducing policy relevance.</w:t>
      </w:r>
    </w:p>
    <w:p>
      <w:r>
        <w:t xml:space="preserve"> </w:t>
      </w:r>
    </w:p>
    <w:p>
      <w:pPr>
        <w:pStyle w:val="Heading2"/>
      </w:pPr>
      <w:r>
        <w:t>Abstract</w:t>
      </w:r>
    </w:p>
    <w:p>
      <w:r>
        <w:t>This study evaluates whether vouchers that reduce the effective price of fruit increase fruit affordability and consumption in peri-urban and urban households in Nigeria and Vietnam using a randomized controlled trial. We randomize geographic units to receive vouchers, with embedded supply-side arms and optional behavioral factorials (conditionality, frequency, messaging). The primary outcome is per-capita fruit servings per day measured by harmonized 24-hour recalls; secondary outcomes include diet-quality indices, voucher redemption rates, retail prices, producer volumes, and biomarkers (DBS with a venous confirmatory subsample). Analysis will estimate intent-to-treat effects using ANCOVA/DiD with cluster-robust standard errors, mixed-effects models for repeated measures, and IV 2SLS (assignment → redemption) for local average treatment effects. Spatial methods quantify spillovers and leakage. Main contributions are: a field-powered, pre-registered causal test of price-reducing vouchers on consumption; integrated supply-side estimation of pass-through; and reproducible SOPs for biomarkers, geoprivacy, and offline voucher controls. Expected outcomes are quantified effect sizes, cost-effectiveness metrics, and operational guidance for scale-up.</w:t>
      </w:r>
    </w:p>
    <w:p>
      <w:r>
        <w:t xml:space="preserve"> </w:t>
      </w:r>
    </w:p>
    <w:p>
      <w:pPr>
        <w:pStyle w:val="Heading2"/>
      </w:pPr>
      <w:r>
        <w:t>Experiments</w:t>
      </w:r>
    </w:p>
    <w:p>
      <w:r>
        <w:t>Datasets: baseline, midline, endline household surveys with harmonized multi-pass 24-hour recalls and brief FFQ modules; weekly retail price and stockout monitoring; retailer redemption logs with GPS timestamps; DBS biomarker assays and 10% venous confirmatory subsample; administrative voucher issuance records; trader/wholesaler sales panels where available. Design and arms: primary randomized unit = market/corridor or community with minimum 5 km (or travel-time) buffer; stratified randomization by country, urban/rural, and market size. Main arms per country: (1) control (no voucher), (2) voucher-only, (3) voucher + supply-support (aggregator/cold-chain subsidy). Optional factorial nested in voucher arms: conditionality (fruit-only vs unrestricted), frequency (biweekly vs monthly), messaging (health vs economic). Sample-size defaults per country: preferred clusters/arm=80 (minimum acceptable=60), households/cluster=25, expected attrition=10%, assumed ICC=0.02; effective N ≈1350 households/arm; detectable ITT MDE ≈0.20–0.25 servings/person/day (80% power, two-sided α=0.05). Biomarker subsample: 20 clusters/arm × 15 households ≈300 samples/arm; detectable effect ≈0.25–0.35 SD. If factorial contrasts are used, ensure clusters per factorial cell ≥60 for MDE~0.20–0.25; minimum pilot cell size =15 clusters yields MDE~0.4. Baselines: randomization balance checks (permutation tests) and pre-specified covariates: baseline fruit intake, household size, income proxy, market size, season indicator. Evaluation metrics: primary = per-capita fruit servings/day (24-h recall); secondary = diet-quality score, fruit dietary diversity, voucher redemption rate (%), retail price (avg/kg), producer volumes, biomarkers (Hb, ferritin adjusted for CRP, carotenoids/RBP). Estimators: ITT via ANCOVA (outcome_end ~ treatment + baseline_outcome + covariates) with cluster-robust SEs; mixed-effects longitudinal models with household random intercepts for repeated measures; LATE via 2SLS using assignment as instrument for redemption, report first-stage F-statistic; spatial-lag / spatial-error models and kernel-weighted exposure indices for spillovers; randomization inference for p-values as robustness. Multiplicity: declare per-capita servings/day as sole primary hypothesis; apply Holm-Bonferroni across a pre-specified small set of confirmatory hypotheses (e.g., behavioral primary contrasts), and Benjamini–Hochberg within secondary outcome families. Robustness and ablations: compare voucher-only vs voucher+supply (supply pass-through ablation); behavioral factorial ablations (conditionality vs no conditionality); per-country stratified analyses. Missing data and attrition: pre-specify multiple imputation under MAR with auxiliary vars list, inverse-probability weighting, Lee bounds, and MNAR sensitivity bounds; trigger additional data collection if differential attrition &gt;10% by arm. IV strategy: require first-stage F&gt;10; report partial R2 and Kleibergen–Paap; if weak use LIML/Fuller. Re-powering and stopping triggers: re-run power if observed ICC or pooled SD deviates &gt;30% from assumptions or if redemption &lt;50%; specify adaptive options (increase clusters, extend follow-up, pool strata). Cost-effectiveness: compute cost per additional serving, cost per anemia case averted, and simple budget-impact for scale-up under low/medium/high supply-elasticity scenarios. Pre-analysis scripts, power sims and code will be versioned and containerized.</w:t>
      </w:r>
    </w:p>
    <w:p>
      <w:r>
        <w:t xml:space="preserve"> </w:t>
      </w:r>
    </w:p>
    <w:p>
      <w:pPr>
        <w:pStyle w:val="Heading2"/>
      </w:pPr>
      <w:r>
        <w:t>Risk Factors And Limitations</w:t>
      </w:r>
    </w:p>
    <w:p>
      <w:r>
        <w:t>Low redemption or compliance reducing treated dose and power. Market supply responses (short-run elasticities) causing price inflation or stockouts, limiting consumer gains. Contamination and spillovers if buffer distances fail to isolate catchments, biasing ITT estimates. Biomarker risks: DBS validity for ferritin/retinol may be limited; venous subsample may be too small for full calibration. Dietary measurement error from 24-hour recalls and seasonal variation affecting variance and power. Differential attrition by arm causing bias. Weak instruments if assignment poorly predicts redemption, requiring alternative estimators with larger variance. Fraud and leakage in low-connectivity settings despite controls. Geoprivacy constraints and jittering may reduce precision in spatial spillover analyses. Resource constraints (lab capacity, cold chain) limiting biomarker sample quality. Limited external generalizability beyond peri-urban/urban contexts or to different fruit baskets. Computational limits for large spatial simulations and re-powering in short windows.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