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aging_osh_productivity</w:t>
      </w:r>
    </w:p>
    <w:p>
      <w:r>
        <w:t xml:space="preserve"> </w:t>
      </w:r>
    </w:p>
    <w:p>
      <w:pPr>
        <w:pStyle w:val="Heading2"/>
      </w:pPr>
      <w:r>
        <w:t>Title</w:t>
      </w:r>
    </w:p>
    <w:p>
      <w:r>
        <w:t>An exploratory stepped-wedge study mapping occupational safety and health interventions and measuring their effects on productivity and performance in an ageing workforce</w:t>
      </w:r>
    </w:p>
    <w:p>
      <w:r>
        <w:t xml:space="preserve"> </w:t>
      </w:r>
    </w:p>
    <w:p>
      <w:pPr>
        <w:pStyle w:val="Heading2"/>
      </w:pPr>
      <w:r>
        <w:t>Short Hypothesis</w:t>
      </w:r>
    </w:p>
    <w:p>
      <w:r>
        <w:t>Implementing tailored occupational safety and health interventions causes an increase in individual throughput (units produced per hour) at 6 months post-implementation among workers aged 50 and older compared with standard practice.</w:t>
      </w:r>
    </w:p>
    <w:p>
      <w:r>
        <w:t xml:space="preserve"> </w:t>
      </w:r>
    </w:p>
    <w:p>
      <w:pPr>
        <w:pStyle w:val="Heading2"/>
      </w:pPr>
      <w:r>
        <w:t>Related Work</w:t>
      </w:r>
    </w:p>
    <w:p>
      <w:r>
        <w:t>Existing work on workplace OSH interventions includes ergonomics redesign, training programs, and organizational interventions, and uses three main measurement approaches: administrative ERP output, self-reported productivity surveys, and short time-motion / observation studies. Sensor-based activity measurement has been used to characterize physical exposures but rarely linked to validated productivity units. Prior trial designs have included cluster trials and before-after studies; stepped-wedge designs have been used for pragmatic rollouts. Limitations across prior approaches are consistent: many studies do not stratify effects by older age bands (loss of age-specific inference), productivity is often measured by self-report or unvalidated proxies (measurement bias), retirements and long-term leave are handled inconsistently (attrition bias), calibration crosswalks between proxies and true output are either absent or underpowered (measurement error), cluster and contamination effects are under-addressed (biased estimates), and economic or governance linkage to employer decision thresholds is seldom integrated. There is also limited reproducible simulation input for power and few privacy-preserving federated analytics implementations.</w:t>
      </w:r>
    </w:p>
    <w:p>
      <w:r>
        <w:t xml:space="preserve"> </w:t>
      </w:r>
    </w:p>
    <w:p>
      <w:pPr>
        <w:pStyle w:val="Heading2"/>
      </w:pPr>
      <w:r>
        <w:t>Abstract</w:t>
      </w:r>
    </w:p>
    <w:p>
      <w:r>
        <w:t>This study maps common occupational safety and health (OSH) interventions for an ageing workforce and tests whether tailored interventions change productivity. We use an exploratory, multisite stepped-wedge rollout with questionnaire mapping, objective productivity where available, sensor-supported measurement, and a validated fallback for low-ERP sites. The primary outcome is individual throughput (units per hour) averaged across shifts at 6 months; the primary estimand is the average treatment effect on the treated (ATT) among workers aged 50+ present at rollout. Prespecified sensitivity estimands include CACE (complier average causal effect) using rollout timing as an instrument and an IPCW-weighted ATT for informative attrition. Key contributions are an integrated measurement and crosswalk protocol stratified by age bands, a reproducible Monte-Carlo power and MCID mapping, and governance procedures for consent, union review, and federated analytics. Expected outcomes are a mapped taxonomy of OSH interventions for older workers, quantification of drivers and barriers that modify effect on safety and productivity, and operational thresholds linking minutes saved per shift to employer-relevant economic decisions.</w:t>
      </w:r>
    </w:p>
    <w:p>
      <w:r>
        <w:t xml:space="preserve"> </w:t>
      </w:r>
    </w:p>
    <w:p>
      <w:pPr>
        <w:pStyle w:val="Heading2"/>
      </w:pPr>
      <w:r>
        <w:t>Experiments</w:t>
      </w:r>
    </w:p>
    <w:p>
      <w:r>
        <w:t>Datasets: multisite sample of workplaces clustered by site (clusters = manufacturing and service sites). ERP-enabled sites: continuous units-per-hour records linked to worker IDs. Low-ERP sites: structured fallback data consisting of (1) two randomized 2-hour time-motion observation bursts per shift, (2) supervisor-verified daily output logs for sampled workers, and (3) crosswalk calibration samples. Sensor subset: wearables (triaxial accelerometer + inclinometer 50 Hz, heart rate 1 Hz, optional EMG &gt;=1000 Hz) on a stratified sample by age bands 50-59, 60-69, and &gt;=70. Surveys: WHO-HPQ or WPAI (productivity), SPS-6 (presenteeism), PROMIS Fatigue, MoCA (cognition), Karolinska Sleepiness Scale, NASA-TLX. Qualitative interviews: purposive sample across age bands, job types, and union/management roles. Baselines: delayed-rollout control condition (standard practice), active-comparator (standard OSH training), and measurement-only arm (sensors and feedback without intervention) where feasible. Primary evaluation metric: change in individual throughput (units/hour) averaged across eligible shifts over 6 months (ATT estimate). Secondary metrics: presenteeism scores, absenteeism days, safety incidents per 1000 worker-hours, PROMIS fatigue change, device compliance rate, crosswalk RMSE and bias. Statistical model (primary inferential model): Y_ijt = beta0 + beta1 * Intervention_ijt + gamma_t + X_ijt * betaX + u_j + v_jt + e_ijt, where Y_ijt is throughput for worker i in cluster j at time t, Intervention_ijt is indicator of post-rollout exposure, gamma_t are fixed period effects (captures secular trends), X_ijt are prespecified covariates (baseline age band dummies, sex, job physicality, baseline throughput, MoCA score, shift length), u_j is cluster random intercept, v_jt is cluster-by-time random slope (allows differential trends), and e_ijt is residual error. Estimators: primary ITT GLMM yield beta1 as ATT under treatment-policy; sensitivity estimators include (a) CACE via IV using randomized rollout timing as instrument (complier average causal effect; instrumented estimate identifies effect among compliers), and (b) IPCW-weighted ATT to account for informative attrition (weights from logistic model of follow-up probability using rich covariates). Ablation studies: (1) measurement ablation comparing ERP-only vs crosswalk-converted time-motion vs self-report-only; report bias, RMSE, and coverage; (2) estimator ablation comparing ITT GLMM vs IV/CACE vs IPCW; (3) model ablation toggling cluster-by-time random slope and contamination indicator terms. Power and sample scenarios: Scenario A k=8 clusters, m=30 workers/cluster, ICC=0.05; Scenario B k=20, m=50, ICC=0.03; Scenario C k=40, m=100, ICC=0.01; Scenario D k=12, m=60, ICC=0.04. Use Monte-Carlo simulations (fixed RNG seed) to map MCID thresholds in minutes (example SD=20 minutes -&gt; 0.25 SD = 5 minutes) to detectable effects. Evaluation metrics for experiments: estimated beta1 with 95% CI, empirical power, bias, RMSE of crosswalk, coverage probability, and subgroup interaction p-values for prespecified contrasts (age band, disability). Reproducibility: provide containerized analysis code (R or Python), random seeds, and input parameter tables in the simulation repo.</w:t>
      </w:r>
    </w:p>
    <w:p>
      <w:r>
        <w:t xml:space="preserve"> </w:t>
      </w:r>
    </w:p>
    <w:p>
      <w:pPr>
        <w:pStyle w:val="Heading2"/>
      </w:pPr>
      <w:r>
        <w:t>Risk Factors And Limitations</w:t>
      </w:r>
    </w:p>
    <w:p>
      <w:r>
        <w:t>Technical device failure or high sensor data loss causing measurement gaps. Measurement error and bias when converting time-motion or self-report to units/hour (crosswalk miscalibration). Selective participation or differential attrition among older workers leading to informative missingness (MNAR). Small number of clusters or cluster imbalance reducing validity of asymptotic inference and inflating Type I/II error. Contamination or spillover between clusters during stepped-wedge rollout biasing estimates. Violation of IV assumptions for CACE (monotonicity or exclusion restriction) limiting causal interpretation. Limited generalizability across industries or job types if samples concentrate in specific sectors. Legal, union, or consent constraints that restrict access to individual-level productivity data. Privacy and re-identification risks when linking sensors, ERP, and health data. Resource constraints for calibration sample sizes per age/job stratum that limit precision of regression-calibration and increase uncertainty propagation into effect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