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circular_osh_ecosystem_intervention</w:t>
      </w:r>
    </w:p>
    <w:p>
      <w:r>
        <w:t xml:space="preserve"> </w:t>
      </w:r>
    </w:p>
    <w:p>
      <w:pPr>
        <w:pStyle w:val="Heading2"/>
      </w:pPr>
      <w:r>
        <w:t>Title</w:t>
      </w:r>
    </w:p>
    <w:p>
      <w:r>
        <w:t>A mixed-methods evaluation of a circular-ecosystem intervention to reduce incident lost-time workplace injuries across national contexts</w:t>
      </w:r>
    </w:p>
    <w:p>
      <w:r>
        <w:t xml:space="preserve"> </w:t>
      </w:r>
    </w:p>
    <w:p>
      <w:pPr>
        <w:pStyle w:val="Heading2"/>
      </w:pPr>
      <w:r>
        <w:t>Short Hypothesis</w:t>
      </w:r>
    </w:p>
    <w:p>
      <w:r>
        <w:t>Workplaces receiving a circular-ecosystem OSH intervention that coordinates multi-actor processes, data/material flows, circular activities, and governance across design, implementation, evaluation, and follow-up phases will have a reduction in 12-month incident lost-time injury absolute risk of at least 8 percentage points compared with workplaces receiving standard OSH practice under a cluster-level intent-to-treat analysis.</w:t>
      </w:r>
    </w:p>
    <w:p>
      <w:r>
        <w:t xml:space="preserve"> </w:t>
      </w:r>
    </w:p>
    <w:p>
      <w:pPr>
        <w:pStyle w:val="Heading2"/>
      </w:pPr>
      <w:r>
        <w:t>Related Work</w:t>
      </w:r>
    </w:p>
    <w:p>
      <w:r>
        <w:t>Existing OSH intervention research typically evaluates single interventions or actor-focused programs, uses siloed outcome measurement, and applies implementation frameworks (e.g., CFIR, EPIS) or simulation methods (agent-based models, system dynamics) in isolation. Prior mixed-methods and multi-site studies improved contextual validity but often lack harmonized cross-national definitions, consistent sensor calibration, federated governance, and integrated modeling driven by qualitative mechanisms. Limitations include measurement heterogeneity for injury outcomes, weak handling of cluster structure and small cluster counts in inference, limited cross-country measurement invariance testing, ad hoc composite indices for precarity without pre-specified weighting or validation, and insufficient linking of implementation process data to simulation model parameters. Privacy-preserving federated analysis approaches exist but are not routinely combined with implementation fidelity dashboards and calibrated sensor pipelines in OSH trials. These gaps reduce comparability, reproducibility, and the ability to model system-level effects of multi-actor interventions.</w:t>
      </w:r>
    </w:p>
    <w:p>
      <w:r>
        <w:t xml:space="preserve"> </w:t>
      </w:r>
    </w:p>
    <w:p>
      <w:pPr>
        <w:pStyle w:val="Heading2"/>
      </w:pPr>
      <w:r>
        <w:t>Abstract</w:t>
      </w:r>
    </w:p>
    <w:p>
      <w:r>
        <w:t>We address inconsistent effectiveness of occupational safety and health (OSH) interventions by evaluating a circular-ecosystem approach that treats interventions as continuous processes among multiple actors, data/material flows, circular activities, value creation, and governance across design, implementation, evaluation, and follow-up. We propose a mixed-methods, cross-national evaluation comparing a full circular-ecosystem intervention to actor-focused and standard-practice arms in cluster-randomized pilots. Main contribution: a pre-registered analytic and governance package that harmonizes a cross-national lost-time injury case definition, sensor and survey standards, a validated precarious-work composite, implementation fidelity logs, and integrated quantitative-qualitative model calibration procedures. Expected outcome: clear, reproducible evidence on whether coordinating ecosystem elements reduces 12-month lost-time injury incidence and which ecosystem components drive effects. Impact: improved cross-national guidance and reproducible pipelines for designing, implementing, and scaling context-aware OSH interventions with stronger causal inference and policy relevance.</w:t>
      </w:r>
    </w:p>
    <w:p>
      <w:r>
        <w:t xml:space="preserve"> </w:t>
      </w:r>
    </w:p>
    <w:p>
      <w:pPr>
        <w:pStyle w:val="Heading2"/>
      </w:pPr>
      <w:r>
        <w:t>Experiments</w:t>
      </w:r>
    </w:p>
    <w:p>
      <w:r>
        <w:t>Datasets: pilot cluster data from three countries; per-country target n=2,500 workers, 30 clusters (workplaces) × ~83 workers per cluster (adjustable), pooled sample ≈7,500 workers; sensor calibration substudy: paired devices n=30 per sensor type per country. Design: parallel, three-arm cluster-randomized trial per country with clusters randomized to (A) circular-ecosystem intervention, (B) actor-focused intervention (single-actor or single-phase), (C) standard OSH practice (control). Primary outcome: incident lost-time workplace injury (first occurrence within 12 months). Baselines: current standard OSH practice; actor-focused intervention. Secondary outcomes: MSK symptom scales (continuous), PHQ-9 (depression), incident near-miss rates, sickness absence days, fidelity/adaptation metrics (CFIR/EPIS core indicators), sensor-derived exposure metrics. Evaluation metrics: primary = absolute risk difference (ARR) at 12 months; secondary = relative risk (RR), standardized mean differences (SMD) for continuous outcomes, ICC estimates, coverage, type I error, RMSE. Measurement invariance: CFA thresholds ΔCFI ≤0.01, ΔRMSEA ≤0.015. Sensor metrics: bias, SD, drift per day. Analysis pipeline: multilevel Poisson or negative-binomial GLMM with random intercepts (workplace, country) to estimate marginal ARRs via predictive margins; two-stage inference with wild cluster bootstrap or permutation tests for hypothesis testing when cluster counts are small; TMLE (targeted maximum likelihood estimation) and doubly robust IPW as robustness checks; Bayesian multilevel models with weakly informative priors (see below) as sensitivity. Missing data: multilevel multiple imputation (hierarchical MICE), IPW for attrition; MNAR sensitivity grid deltas = {-0.10, -0.05, 0}. Ablation studies: (1) full ecosystem vs actor-only vs control; (2) remove governance element from full package; (3) remove data/material flows element; (4) simulate contamination levels (5%, 10%, 20%) and dropout (10%, 20%, 30%) to assess bias. Simulation scenarios: cluster counts {20,30,50,100}, cluster sizes {25,50,100}, ICCs {0.02,0.05,0.10}, overdispersion and zero-inflation variants; report power/MDE, bias, coverage. Sensor calibration analyses: paired-device Bland-Altman style bias and SD; acceptance thresholds metric-specific (see Risk Factors). Pre-specified per-protocol/complier definition: workers with ≥75% exposure to intervention components and shift-level fidelity ≥80% documented in logs. All code versioned in a designated repository; containerized analytic environments (Docker) and DataSHIELD templates used for federated analyses.</w:t>
      </w:r>
    </w:p>
    <w:p>
      <w:r>
        <w:t xml:space="preserve"> </w:t>
      </w:r>
    </w:p>
    <w:p>
      <w:pPr>
        <w:pStyle w:val="Heading2"/>
      </w:pPr>
      <w:r>
        <w:t>Risk Factors And Limitations</w:t>
      </w:r>
    </w:p>
    <w:p>
      <w:r>
        <w:t>Measurement heterogeneity: cross-national differences in reporting practices (employer vs self-report) and passive vs active surveillance may bias ARR estimates. Small cluster counts: fewer clusters reduce validity of cluster-robust inference and bootstrap methods. Sensor failures and calibration drift: devices may show bias or drift beyond acceptance thresholds, reducing exposure validity. Missing data and MNAR attrition: nonrandom loss to follow-up (e.g., precarious workers leaving) can bias effect estimates if unaccounted. Contamination: intervention spillover across clusters will dilute ITT effects. Composite index limits: precarious-work weighting may not generalize; results sensitive to weighting scheme. Model misspecification: GLMM, TMLE, or Bayesian models may not capture zero-inflation or overdispersion adequately. Legal and ethical constraints: country-specific data laws and reluctance to collect employer IDs for undocumented workers can limit linkage and stratified analyses. Resource constraints: recruiting required cluster counts and running calibration substudies may exceed budgets or timelines. Generalizability: pilot countries and sectors may not represent all national contexts, limiting external validity. Computational limits: federated modeling with large ensembles and Bayesian calibration may be compute-intensive and slow.</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