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rawls_ai_women_tourism</w:t>
      </w:r>
    </w:p>
    <w:p>
      <w:r>
        <w:t xml:space="preserve"> </w:t>
      </w:r>
    </w:p>
    <w:p>
      <w:pPr>
        <w:pStyle w:val="Heading2"/>
      </w:pPr>
      <w:r>
        <w:t>Title</w:t>
      </w:r>
    </w:p>
    <w:p>
      <w:r>
        <w:t>Mixed-methods evaluation of responsible AI interventions to increase inclusivity for women entrepreneurs in tourism</w:t>
      </w:r>
    </w:p>
    <w:p>
      <w:r>
        <w:t xml:space="preserve"> </w:t>
      </w:r>
    </w:p>
    <w:p>
      <w:pPr>
        <w:pStyle w:val="Heading2"/>
      </w:pPr>
      <w:r>
        <w:t>Short Hypothesis</w:t>
      </w:r>
    </w:p>
    <w:p>
      <w:r>
        <w:t>A responsible AI intervention that applies fairness constraints, human-in-the-loop review, and privacy protections will cause a measurable increase in women entrepreneurs' log monthly revenue and standardized discoverability index at 6 months compared to assignment to control.</w:t>
      </w:r>
    </w:p>
    <w:p>
      <w:r>
        <w:t xml:space="preserve"> </w:t>
      </w:r>
    </w:p>
    <w:p>
      <w:pPr>
        <w:pStyle w:val="Heading2"/>
      </w:pPr>
      <w:r>
        <w:t>Related Work</w:t>
      </w:r>
    </w:p>
    <w:p>
      <w:r>
        <w:t>Prior work shows three relevant streams. First, platformization and recommender systems can increase small-seller visibility and revenue but often amplify existing biases in rankings and access. Second, responsible AI research proposes fairness constraints, calibration checks, and human oversight to reduce disparate impact; however, most proposals lack operationalized governance and field-tested thresholds for low-resource, multilingual settings. Third, voice and ASR technologies enable low-literacy access but perform poorly on underrepresented dialects and noisy field recordings, requiring large annotation investments or human correction. Limitations across existing approaches include weak causal identification in observational studies, scarce demonstration of privacy-preserving training (e.g., federated learning with differential privacy) at scale in the field, insufficient small-cluster inference work for stepped-wedge designs, and lack of intersectional subgroup pre-specification. Overall, prior methods either improve technical models without governance or propose governance without validated field impact evidence for women entrepreneurs in tourism.</w:t>
      </w:r>
    </w:p>
    <w:p>
      <w:r>
        <w:t xml:space="preserve"> </w:t>
      </w:r>
    </w:p>
    <w:p>
      <w:pPr>
        <w:pStyle w:val="Heading2"/>
      </w:pPr>
      <w:r>
        <w:t>Abstract</w:t>
      </w:r>
    </w:p>
    <w:p>
      <w:r>
        <w:t>This study tests whether responsibly designed AI tools can reduce barriers to inclusivity for women entrepreneurs in tourism. We combine a cluster stepped-wedge randomized rollout with qualitative interviews and focus groups to measure causal effects of AI-enabled discoverability, pricing, and market-advice tools that incorporate fairness constraints, human-in-the-loop review, and privacy-preserving training. The main contribution is an integrated, pre-registered evaluation that links (a) rigorous causal estimation (intent-to-treat and complier average causal effect), (b) operational fairness metrics and governance triggers, and (c) qualitative mechanisms grounded in Rawls' theory of justice (used as an ethical framing). Expected outcomes are quantified changes in log monthly revenue and a standardized Discoverability Index at six months, plus evidence on model fairness, ASR performance for local dialects, and practical legal/governance readiness. The study produces reproducible code, validity checks for the Discoverability Index, and concrete thresholds for deployment decisions in low-resource, multilingual tourism settings.</w:t>
      </w:r>
    </w:p>
    <w:p>
      <w:r>
        <w:t xml:space="preserve"> </w:t>
      </w:r>
    </w:p>
    <w:p>
      <w:pPr>
        <w:pStyle w:val="Heading2"/>
      </w:pPr>
      <w:r>
        <w:t>Experiments</w:t>
      </w:r>
    </w:p>
    <w:p>
      <w:r>
        <w:t>Datasets: (1) Longitudinal transactional logs (views, inquiries, bookings, revenue) from participating platforms collected weekly; (2) Baseline and 6-month follow-up surveys capturing formalization, safety incidents, perceived legitimacy; (3) Qualitative interview and focus-group transcripts; (4) ASR corpora per dialect (target: 100–300 hours primary dialects, 5k–10k labeled utterances per language). Baselines: (A) no-AI control (delayed rollout), (B) non-responsible AI variant (same models without fairness constraints or DP), (C) human-assisted workflow (manual discoverability boosts). Evaluation metrics: primary — mean change in ln(monthly revenue) and standardized Discoverability Index (z-scored sum of log1p(views), log1p(inquiries), log1p(bookings)); secondary — booking diversity, perceived legitimacy (Likert), safety incidents, formalization steps; fairness — disparate impact ratio (DIR), calibration error (probability points), equalized odds gap; ASR — WER (word error rate); system — attrition rate. Experimental setup: cluster stepped-wedge randomized rollout with clusters randomized to rollout periods, ITT analysis at 6 months using mixed-effects models: ln(revenue) = α + β·Treat + Xγ + δ_t + u_c + ε; cluster random intercept u_c; time fixed effects δ_t; robust SE clustered by cluster. CACE via 2SLS instrumenting uptake with assignment. Pre-registration: full model specs, covariates (baseline log-revenue, age band, urban/rural, formal/informal, language), multiplicity rules (Bonferroni for two primary outcomes, BH-FDR for secondary), and missing-data rules. Small-sample inference: compare asymptotic SEs, wild cluster bootstrap, and permutation/randomization inference tailored to stepped-wedge; publish simulation results mapping ICCs (0.02–0.08), cluster sizes (10–30), cluster counts (20–60) to MDES. Ablation studies: remove fairness constraints, remove DP noise, and remove human-in-the-loop to measure impact on revenue, DIR, and model utility. ASR experiments: train models at candidate ε values (per-round ε 0.5–1.0) and report utility-vs-privacy curves (WER, intent accuracy). Sensitivity analyses: MI with delta adjustments (delta ∈ {−0.6, −0.4, −0.2, 0}), pattern-mixture and selection models for MNAR, and tipping-point tables identifying attrition thresholds where inference reverses. Reproducibility: publish notebooks, fixed seeds, and synthetic example datasets; controlled-access for real data per consent and DP constraints.</w:t>
      </w:r>
    </w:p>
    <w:p>
      <w:r>
        <w:t xml:space="preserve"> </w:t>
      </w:r>
    </w:p>
    <w:p>
      <w:pPr>
        <w:pStyle w:val="Heading2"/>
      </w:pPr>
      <w:r>
        <w:t>Risk Factors And Limitations</w:t>
      </w:r>
    </w:p>
    <w:p>
      <w:r>
        <w:t>Technical failure modes: poor ASR performance on low-resource dialects leading to measurement error; model degradation when DP noise reduces utility. Data and evaluation biases: survivor bias from attrition, MNAR missingness, and measurement error in platform logs; small number of clusters yields unreliable asymptotic SEs. Scalability and compute: federated training and secure aggregation increase compute, bandwidth, and engineering complexity in low-connectivity areas. Generalization limits: effects measured in specific tourism sub-sectors or regions may not transfer to other contexts. Legal and operational constraints: jurisdictional data protection or KYC rules may forbid planned payment flows or cross-border data transfers. Social harms: algorithmic adjustments may unintentionally reduce visibility for some subgroups; increased exposure may create safety risks. Governance limits: Local Advisory Board decisions and regulator responses can delay rollouts and alter planned analyses. Resource constraints: annotation budgets and timelines may be insufficient for all dialects, causing unequal model performance across languages.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