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gendered_altruism_eldercare_thailand</w:t>
      </w:r>
    </w:p>
    <w:p>
      <w:r>
        <w:t xml:space="preserve"> </w:t>
      </w:r>
    </w:p>
    <w:p>
      <w:pPr>
        <w:pStyle w:val="Heading2"/>
      </w:pPr>
      <w:r>
        <w:t>Title</w:t>
      </w:r>
    </w:p>
    <w:p>
      <w:r>
        <w:t>A mixed-methods causal analysis of how social gender norms about altruistic behavior affect unpaid eldercare provision in Thailand</w:t>
      </w:r>
    </w:p>
    <w:p>
      <w:r>
        <w:t xml:space="preserve"> </w:t>
      </w:r>
    </w:p>
    <w:p>
      <w:pPr>
        <w:pStyle w:val="Heading2"/>
      </w:pPr>
      <w:r>
        <w:t>Short Hypothesis</w:t>
      </w:r>
    </w:p>
    <w:p>
      <w:r>
        <w:t>Caregivers with higher internalized gendered-altruism norms provide more unpaid weekly care hours to elderly persons than caregivers with lower internalized norms, holding elder need and household resources constant.</w:t>
      </w:r>
    </w:p>
    <w:p>
      <w:r>
        <w:t xml:space="preserve"> </w:t>
      </w:r>
    </w:p>
    <w:p>
      <w:pPr>
        <w:pStyle w:val="Heading2"/>
      </w:pPr>
      <w:r>
        <w:t>Related Work</w:t>
      </w:r>
    </w:p>
    <w:p>
      <w:r>
        <w:t>Prior studies document large gender gaps in unpaid eldercare in Thailand, with women providing substantially more care than men. Existing work often relies on cross-sectional surveys and self-reported measures of norms, which are vulnerable to social desirability bias (people answering in socially approved ways) and measurement noninvariance across languages and regions. Causal evidence is limited: most analyses are associative and do not robustly address endogeneity (when unobserved factors influence both norms and caregiving). Behavioral-task measures and vignette experiments have been used elsewhere to reveal preferences but are rare in eldercare research in Thailand. Qualitative studies highlight cultural idioms (bun khun, kreng jai, namjai) but are not always integrated with quantitative causal designs. Key limitations in current approaches are (1) weak causal identification strategies, (2) limited triangulation between stated norms and revealed behavior, (3) inadequate cross-cultural instrument validation, and (4) insufficient attention to subgroup power for invariance and heterogeneity tests.</w:t>
      </w:r>
    </w:p>
    <w:p>
      <w:r>
        <w:t xml:space="preserve"> </w:t>
      </w:r>
    </w:p>
    <w:p>
      <w:pPr>
        <w:pStyle w:val="Heading2"/>
      </w:pPr>
      <w:r>
        <w:t>Abstract</w:t>
      </w:r>
    </w:p>
    <w:p>
      <w:r>
        <w:t>This study examines whether and how social gender norms about altruistic behavior influence unpaid care provided to elderly persons in Thailand. We combine a nationally representative panel survey with nested smartphone time-use diaries, incentivized behavioral tasks that reveal helping preferences, vignette experiments, and in-depth qualitative interviews across Thai regions and language groups. The main contribution is a mixed-methods causal design that links validated, multidimensional measures of gendered-altruism norms to observed caregiving hours and caregiver outcomes (employment and mental health). We pre-specify quasi-experimental strategies—instrumental variables based on facility distance/density and staggered policy rollouts, difference-in-differences/event-study checks, and longitudinal mediation estimands—to estimate causal effects. Expected outcomes include quantifying the norm-driven component of caregiving, understanding mechanisms of internalization versus social pressure, and producing policy-relevant evidence to inform gender-responsive eldercare supports in Thailand.</w:t>
      </w:r>
    </w:p>
    <w:p>
      <w:r>
        <w:t xml:space="preserve"> </w:t>
      </w:r>
    </w:p>
    <w:p>
      <w:pPr>
        <w:pStyle w:val="Heading2"/>
      </w:pPr>
      <w:r>
        <w:t>Experiments</w:t>
      </w:r>
    </w:p>
    <w:p>
      <w:r>
        <w:t>Datasets: (1) Baseline nationally representative household panel (N≈1,800; oversample to 2,100) with elder, caregiver, and household modules; (2) smartphone-assisted 24-hour time-use diary subsample (n=200–300); (3) behavioral task module (all respondents) with incentivized mobile-credit allocation and discrete-choice vignettes; (4) cognitive interviews (n≈30–50) and in-depth qualitative interviews (40–60) and 6–8 focus groups; (5) administrative data on long-term care (LTC) facility locations and policy rollout dates. Baselines for comparison: (A) regression models without norm measures; (B) models with direct self-reported norm scales; (C) models with vignette-based norm measures; (D) models with behavioral-task revealed-preference measures. Evaluation metrics: primary metric—weekly unpaid care hours (continuous) estimated effect size and standard error; secondary metrics—employment status (binary) and weekly work hours, caregiver mental-health score (continuous), elder ADL/IADL scores; inferential metrics—95% confidence intervals, p-values, first-stage F-statistic for IVs, proportion mediated in mediation analysis; psychometric metrics—Cronbach’s alpha/omega (internal consistency), CFA fit indices (CFI, TLI, RMSEA) and measurement invariance tests (configural/metric/scalar); qualitative metrics—Cohen’s kappa for double-coding. Experimental setup: (1) OLS and multilevel mixed-effects models with village/household random effects and design weights; (2) Instrumental variables (IV) two-stage least squares (2SLS) using LTC distance/density and policy rollout timing; require first-stage F&gt;10; perform LIML if weak; (3) Difference-in-differences and event-study analyses around policy rollouts to check pre-trends; (4) Longitudinal mediation estimation (counterfactual mediation methods) with mediators measured at interim waves and outcomes at endline; bootstrap CIs for mediation; (5) Measurement experiments: pilot list experiment, randomized-response, and ACASI on n≈300 to compare reporting; adoption triggers pre-specified; (6) Ablation studies: compare estimates using (a) self-report norms only, (b) vignette measures only, (c) behavioral tasks only, and (d) combined multi-measure norm index to assess sensitivity; (7) Subgroup analyses by gender × region × urbanicity with per-cell MDES simulation tables and targeted oversampling to reach ~200–250 per cell; (8) Qualitative analysis: thematic coding with deductive codes on internalization, injunctive/descriptive norms, burden, and opportunity costs, and joint displays linking qualitative mechanisms to quantitative estimates.</w:t>
      </w:r>
    </w:p>
    <w:p>
      <w:r>
        <w:t xml:space="preserve"> </w:t>
      </w:r>
    </w:p>
    <w:p>
      <w:pPr>
        <w:pStyle w:val="Heading2"/>
      </w:pPr>
      <w:r>
        <w:t>Risk Factors And Limitations</w:t>
      </w:r>
    </w:p>
    <w:p>
      <w:r>
        <w:t>Technical failure modes: weak instruments (IVs) with low first-stage strength; mediator–outcome confounding undermining causal mediation; measurement noninvariance across languages/regions limiting comparisons. Data and evaluation biases: social desirability and kreng jai may bias self-reports; diary noncompliance reducing time-use validity; differential attrition (&lt;85% follow-up) causing selection bias. Scalability and compute: intensive fieldwork (diaries, loaner devices) raises costs and logistical complexity. Generalization limits: findings may not transfer beyond Thailand or to contexts with different gender norms and LTC structures. Subgroup power: achieving 200–250 respondents per gender×region×urban cell may require substantial oversampling; small-language communities risk underpowering invariance tests. Operational risks: access barriers in Deep South or hill-tribe areas may force substitutions that introduce substitution bias. Privacy and disclosure: releasing microdata risks re-identification if geographic granularity is preserved. Ethical limits: incentivized tasks and payments may differentially affect caregivers by gender or poverty status, creating participation bias.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