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trade_agreements_sustainable_fisheries_mtl</w:t>
      </w:r>
    </w:p>
    <w:p>
      <w:r>
        <w:t xml:space="preserve"> </w:t>
      </w:r>
    </w:p>
    <w:p>
      <w:pPr>
        <w:pStyle w:val="Heading2"/>
      </w:pPr>
      <w:r>
        <w:t>Title</w:t>
      </w:r>
    </w:p>
    <w:p>
      <w:r>
        <w:t>callaway_and_santanna_staggered_difference-in-differences_analysis_of_trade_agreements_with_fisheries_provisions_on_marine_mean_trophic_level</w:t>
      </w:r>
    </w:p>
    <w:p>
      <w:r>
        <w:t xml:space="preserve"> </w:t>
      </w:r>
    </w:p>
    <w:p>
      <w:pPr>
        <w:pStyle w:val="Heading2"/>
      </w:pPr>
      <w:r>
        <w:t>Short Hypothesis</w:t>
      </w:r>
    </w:p>
    <w:p>
      <w:r>
        <w:t>Signing a free trade agreement that includes fisheries-related provisions causes a statistically significant decline in the mean trophic level (MTL) of marine fisheries catch in the signatory's exclusive economic zones within five years, relative to matched non-signatory controls.</w:t>
      </w:r>
    </w:p>
    <w:p>
      <w:r>
        <w:t xml:space="preserve"> </w:t>
      </w:r>
    </w:p>
    <w:p>
      <w:pPr>
        <w:pStyle w:val="Heading2"/>
      </w:pPr>
      <w:r>
        <w:t>Related Work</w:t>
      </w:r>
    </w:p>
    <w:p>
      <w:r>
        <w:t>Existing research links trade policy to fisheries outcomes using cross-sectional comparisons, simple difference-in-differences (DiD), synthetic control methods, and descriptive analyses of trade shocks. Prior approaches often treat treatment timing as homogeneous, ignore staggered adoption biases, or rely on coarse national aggregates that obscure localized fishing effort. Trade-provision coding studies document policy content but rarely connect clause strength to ecological metrics. Studies using vessel-tracking or remote sensing improve exposure measurement but lack integrated linkage to trade records and econometric pipelines that propagate linkage uncertainty. Limitations include: (1) estimator bias when treatment timing varies across units and treatment effects are heterogeneous; (2) weak or missing causal backstops (instruments) and incomplete falsification checks; (3) insufficient uncertainty propagation from probabilistic record linkage; (4) limited spatial resolution and spillover handling; and (5) underpowered designs without pre-registered minimum detectable effects. These gaps reduce confidence that observed ecological changes are caused by trade agreement content.</w:t>
      </w:r>
    </w:p>
    <w:p>
      <w:r>
        <w:t xml:space="preserve"> </w:t>
      </w:r>
    </w:p>
    <w:p>
      <w:pPr>
        <w:pStyle w:val="Heading2"/>
      </w:pPr>
      <w:r>
        <w:t>Abstract</w:t>
      </w:r>
    </w:p>
    <w:p>
      <w:r>
        <w:t>This study assesses whether signing free trade agreements that include fisheries-related provisions affects marine fisheries sustainability, measured by mean trophic level (MTL) of catch. We combine global MTL time series (1950–2018) with a coded dataset of environmental and fisheries provisions in trade agreements (1947–2018). Identification uses a staggered difference-in-differences design implemented via Callaway &amp; Sant'Anna to estimate group-time average treatment effects while allowing heterogeneous timing and effects; propensity score matching precedes DiD to improve covariate balance. We propagate probabilistic linkage uncertainty (Fellegi–Sunter) through multiple imputation (M=100) and report Rubin-combined confidence intervals. Spatial units (EEZs and 0.1° grids) and oceanographic covariates (SST, chlorophyll) are included; robustness uses Sun &amp; Abraham, two-way FE, and IVs (pre-agreement trade shares, WTO accession timing). The main contribution is a reproducible, uncertainty-aware pipeline that yields policy-relevant causal estimates of how fisheries-related trade provisions influence MTL, informing negotiators and fisheries managers about trade-driven ecological risks.</w:t>
      </w:r>
    </w:p>
    <w:p>
      <w:r>
        <w:t xml:space="preserve"> </w:t>
      </w:r>
    </w:p>
    <w:p>
      <w:pPr>
        <w:pStyle w:val="Heading2"/>
      </w:pPr>
      <w:r>
        <w:t>Experiments</w:t>
      </w:r>
    </w:p>
    <w:p>
      <w:r>
        <w:t>Datasets: (1) Global mean trophic level (MTL) time series by EEZ/grid, 1950–2018; (2) coded trade-agreement dataset with fisheries/environmental provisions, 1947–2018; (3) spatial effort and linkage inputs (AIS/VMS, COMTRADE, port calls) for linkage and exposure construction; (4) covariates: SST and chlorophyll anomalies, port trade volumes, governance capacity index, fleet composition. Units: EEZ-year and 0.1° grid-year panels. Primary treatment definitions: (A) binary: FTA signed with any fisheries provision in year t; (B) intensity: normalized clause-strength score (continuous). Baselines: (1) naive TWFE DiD; (2) Sun &amp; Abraham staggered-DiD; (3) C&amp;S staggered-DiD without matching; (4) C&amp;S with propensity-score matching (PSM) baseline; (5) IV-two-stage using pre-agreement trade shares and WTO accession timing as instruments. Matching: logistic propensity score on pre-treatment covariates (SST, chlorophyll trends, governance, pre-treatment MTL trend, port exposure); caliper 0.2 SD, 1:3 nearest-neighbor without replacement. Estimator: Callaway &amp; Sant'Anna with covariate adjustment; cluster-robust SEs at country-year and EEZ-year. Uncertainty: probabilistic linkage via Fellegi–Sunter; produce M=100 imputed link panels; combine estimates via Rubin’s rules; bootstrap B=500 for effort estimates. Evaluation metrics: group-time ATT (MTL units) and 95% CI, p-values, pre-trend placebo p-values, balance diagnostics (standardized mean differences), proportion of significant placebo effects, IV first-stage F-statistic, coverage of CIs across imputations, MDE table (kg/hr-equivalent converted to expected MTL change). Ablations: (i) C&amp;S with vs without PSM; (ii) deterministic linkage only vs multiple-imputation linkage; (iii) binary vs intensity treatment; (iv) spillover-specification: no-spill vs spatial-weighted exposure (50/100/250/500 km). Report all results disaggregated by governance tertiles and species groups (pelagic vs demersal).</w:t>
      </w:r>
    </w:p>
    <w:p>
      <w:r>
        <w:t xml:space="preserve"> </w:t>
      </w:r>
    </w:p>
    <w:p>
      <w:pPr>
        <w:pStyle w:val="Heading2"/>
      </w:pPr>
      <w:r>
        <w:t>Risk Factors And Limitations</w:t>
      </w:r>
    </w:p>
    <w:p>
      <w:r>
        <w:t>Measurement error: MTL estimates and coded treaty provisions may contain systematic errors; probabilistic linkage can still mislink records leading to bias. Endogeneity: countries that sign FTAs may differ on unobserved trends (time-varying confounders) not fully controlled by matching or IVs; instruments (pre-trade shares, WTO timing) may be weak or violate exclusion. Power: detectable effect sizes may be too large if treated-group counts or within-cluster variation are small; MDEs may show low power for small ecological effects. Spatial spillovers: fishing displacement across borders violates SUTVA and complicates causal attribution. Data gaps and heterogeneity: AIS/VMS coverage is incomplete in some regions; stock-assessment (SSB) inputs vary in methods and uncertainty. Generalizability: results from 1947–2018 historical data and selected pilots may not apply to future trade regimes or regions with different governance. Computational: multiple-imputation, bootstrap, and spatial models require substantial compute and storage; resource limits may constrain sensitivity analyses. Clerical validation: chosen validation samples may not be fully representative, yielding biased recalibration of match probabilities.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