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modularity_data_quality_pipeline</w:t>
      </w:r>
    </w:p>
    <w:p>
      <w:r>
        <w:t xml:space="preserve"> </w:t>
      </w:r>
    </w:p>
    <w:p>
      <w:pPr>
        <w:pStyle w:val="Heading2"/>
      </w:pPr>
      <w:r>
        <w:t>Title</w:t>
      </w:r>
    </w:p>
    <w:p>
      <w:r>
        <w:t>A data-quality and structured-management framework using accounting analysis, DSM extraction, and simulation-based sensitivity to quantify modularity effects in modular product families</w:t>
      </w:r>
    </w:p>
    <w:p>
      <w:r>
        <w:t xml:space="preserve"> </w:t>
      </w:r>
    </w:p>
    <w:p>
      <w:pPr>
        <w:pStyle w:val="Heading2"/>
      </w:pPr>
      <w:r>
        <w:t>Short Hypothesis</w:t>
      </w:r>
    </w:p>
    <w:p>
      <w:r>
        <w:t>Improving industrial data quality and structured data practices (including accounting-system alignment and AI-assisted DSM extraction) causally reduces estimation error and uncertainty when measuring modularity effects on cost, lead time, and defect rates.</w:t>
      </w:r>
    </w:p>
    <w:p>
      <w:r>
        <w:t xml:space="preserve"> </w:t>
      </w:r>
    </w:p>
    <w:p>
      <w:pPr>
        <w:pStyle w:val="Heading2"/>
      </w:pPr>
      <w:r>
        <w:t>Related Work</w:t>
      </w:r>
    </w:p>
    <w:p>
      <w:r>
        <w:t>Existing work attempts to quantify modularity effects using design structure matrices (DSMs), product bills-of-materials (BOMs), lifecycle data and costing/simulation methods. Common approaches build modularity metrics (module counts, coupling, interface measures) and use regression or instrumental-variables (IV) methods to estimate effects. Limitations remain: (1) poor or inconsistent data extraction from PLM/BOM/API systems yields measurement error; (2) small cluster panels and weak instruments cause biased or imprecise IV estimates; (3) MNAR (missing-not-at-random) and linkage uncertainty are rarely modeled fully; (4) prior sensitivity and expert-elicitation are informal and inconsistent; (5) privacy needs lead to synthetic or differentially-private releases that reduce utility; and (6) reproducibility and pre-registered decision rules are usually missing. These weaknesses leave causal claims fragile and non-transferable across industrial contexts.</w:t>
      </w:r>
    </w:p>
    <w:p>
      <w:r>
        <w:t xml:space="preserve"> </w:t>
      </w:r>
    </w:p>
    <w:p>
      <w:pPr>
        <w:pStyle w:val="Heading2"/>
      </w:pPr>
      <w:r>
        <w:t>Abstract</w:t>
      </w:r>
    </w:p>
    <w:p>
      <w:r>
        <w:t>Quantifying how modularity in product families affects cost, lead time and defect rates is hindered by poor data quality, inconsistent measurement, and fragile causal inference under small samples and weak instruments. We propose a reproducible pipeline that combines: (a) explicit accounting-system analysis to align cost signals; (b) deterministic, provenance-tagged DSM extraction with inter-rater checks and AI-assisted parsers; and (c) seed-controlled simulation stress tests that evaluate estimator robustness (2SLS, LIML, Anderson–Rubin, Conley bounds) across realistic DGPs and MNAR/invalid-instrument scenarios. Main contributions are (1) pre-registered measurement rules and elicitation→prior mapping for MNAR/Conley sensitivity, (2) a clustered-panel IV stress grid for finite-sample decision rules, and (3) modular synthetic-data and differential-privacy specifications with utility-risk reporting. Expected outcome: concrete, testable go/no-go criteria and reproducible toolsets that materially reduce estimation uncertainty and increase transparency in modularity effect quantification for industrial pilots.</w:t>
      </w:r>
    </w:p>
    <w:p>
      <w:r>
        <w:t xml:space="preserve"> </w:t>
      </w:r>
    </w:p>
    <w:p>
      <w:pPr>
        <w:pStyle w:val="Heading2"/>
      </w:pPr>
      <w:r>
        <w:t>Experiments</w:t>
      </w:r>
    </w:p>
    <w:p>
      <w:r>
        <w:t>Datasets: (1) Danish pilot industrial data: PLM exports, BOMs, API logs, change-history events, supplier and accounting reports; (2) historical industry benchmarks for prior calibration; (3) synthetic DSM datasets generated by degree-corrected stochastic block models and GraphRNN ensembles. Baselines: (A) naive metrics from raw DSM/BOM (module count, reuse rate, basic coupling), (B) measurement-improved pipeline without accounting alignment, (C) full pipeline including accounting alignment and AI-assisted DSM extraction. Estimators to compare: OLS, clustered 2SLS (cluster-robust SEs), LIML/Fuller, Anderson–Rubin sets, Conley sensitivity bounds (frequentist), Bayesian posterior-identified intervals (Conley+priors). Evaluation metrics: bias, RMSE, empirical coverage, CI length, partial-R2 (first-stage), cluster-robust F, power, size distortion, and decision-rule outcomes (go/no-go). Measurement procedures: DSM extraction thresholds (BOM co-occurrence τ=0.20, API linkages ≥5 calls, change-propagation ≥2 events) with provenance metadata; inter-rater double-coding 10% sample (Cohen’s kappa target ≥0.70). Missing-data handling: multilevel MICE (assumes MAR) and MNAR sensitivity via selection and pattern-mixture models parameterized by elicited priors. Privacy experiments: DP edge perturbation with ε∈{0.1,0.5,1,3,5} and synthetic generation with DP-SGD; report re-identification risk and utility loss. Simulation stress grid (seed-controlled): cluster count G∈{6,12,20,50}; cluster size n∈{5,10,20}; T∈{8,16,32}; ICC∈{0.01,0.05,0.10}; serial corr ρ_time∈{0.0,0.3,0.6}; partial-R2∈{0.001,0.005,0.01,0.03,0.05,0.10}; instrument corr ρ_Z∈{0,0.3,0.6,0.9}; invalidity δ_Z∈{0,0.1,0.3} SD; fraction invalid instruments ∈{0%,25%,50%}; attrition MCAR/MAR up to 30% and MNAR models. Pre-registered decision rules: if pilot partial-R2&lt;0.03 or G&lt;12 then default to AR/LIML and report Conley/local-IV bounds. Ablation studies: (1) remove accounting alignment; (2) omit expert-elicited priors (use flat priors); (3) turn off AI-assisted DSM extraction (rule-only); (4) vary DP ε to evaluate utility tradeoff. Reproducibility: all code, seeds, Docker images, and notebooks published before pilot.</w:t>
      </w:r>
    </w:p>
    <w:p>
      <w:r>
        <w:t xml:space="preserve"> </w:t>
      </w:r>
    </w:p>
    <w:p>
      <w:pPr>
        <w:pStyle w:val="Heading2"/>
      </w:pPr>
      <w:r>
        <w:t>Risk Factors And Limitations</w:t>
      </w:r>
    </w:p>
    <w:p>
      <w:r>
        <w:t>Data access and provenance: industrial systems may restrict needed PLM/BOM/accounting extracts, limiting completeness. Measurement error: DSM extraction heuristics may misclassify nodes/edges, biasing modularity metrics. Small-cluster inference: few clusters or low partial-R2 will make IV estimates weak or non-identifiable. MNAR ambiguity: elicited priors may be inconsistent or overconfident, producing misleading sensitivity. Model misspecification: DGPs used in simulations may not capture real heterogeneity or interference (spillovers). Privacy-utility tradeoff: strong differential privacy (small ε) can substantially degrade estimator accuracy. Computational limits: large seed-controlled simulation grids and hierarchical Bayesian models require substantial compute and careful MCMC tuning; convergence failures are possible. Generalization: results calibrated on Danish pilot data may not transfer to other industries or product families without re-benchmarking.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