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shrinkflation_japan_cpi</w:t>
      </w:r>
    </w:p>
    <w:p>
      <w:r>
        <w:t xml:space="preserve"> </w:t>
      </w:r>
    </w:p>
    <w:p>
      <w:pPr>
        <w:pStyle w:val="Heading2"/>
      </w:pPr>
      <w:r>
        <w:t>Title</w:t>
      </w:r>
    </w:p>
    <w:p>
      <w:r>
        <w:t>Estimating the effect of manufacturer unit-size reductions on Japan's package-adjusted CPI using SIMEX and Bayesian error-in-variables with experimental detection calibration</w:t>
      </w:r>
    </w:p>
    <w:p>
      <w:r>
        <w:t xml:space="preserve"> </w:t>
      </w:r>
    </w:p>
    <w:p>
      <w:pPr>
        <w:pStyle w:val="Heading2"/>
      </w:pPr>
      <w:r>
        <w:t>Short Hypothesis</w:t>
      </w:r>
    </w:p>
    <w:p>
      <w:r>
        <w:t>Sustained manufacturer-driven unit-size reductions of at least 5% that remain largely undetected by consumers cause a measurable upward bias of ≥0.05 percentage points in Japan's package-adjusted CPI and a statistically significant reduction in consumer surplus when corrected using measurement-error methods.</w:t>
      </w:r>
    </w:p>
    <w:p>
      <w:r>
        <w:t xml:space="preserve"> </w:t>
      </w:r>
    </w:p>
    <w:p>
      <w:pPr>
        <w:pStyle w:val="Heading2"/>
      </w:pPr>
      <w:r>
        <w:t>Related Work</w:t>
      </w:r>
    </w:p>
    <w:p>
      <w:r>
        <w:t>Existing work measures inflation using scanner and household data, applies hedonic adjustments to control for quality changes, and uses error-in-variables (EIV) corrections such as SIMEX or Bayesian EIV to address measurement error. Prior studies also use instruments based on commodity or input-cost shocks to identify cost-driven price responses, and laboratory or survey experiments to measure consumer detection of price and size changes. Limitations include: (1) sparse experimental linking between consumer detection rates and scanner-observed unit-size changes, (2) limited validation of SIMEX/Bayesian EIV under heaped or non-classical size-reporting errors, (3) weak or underspecified handling of multipacks and promotional confounders, (4) incomplete upstream instrument construction and lead-lag choices, and (5) lack of transparent, reproducible CPI package-adjusted aggregation and welfare mapping across strata. These gaps reduce confidence in mapping SKU-level shrinkage to aggregate CPI bias and welfare loss.</w:t>
      </w:r>
    </w:p>
    <w:p>
      <w:r>
        <w:t xml:space="preserve"> </w:t>
      </w:r>
    </w:p>
    <w:p>
      <w:pPr>
        <w:pStyle w:val="Heading2"/>
      </w:pPr>
      <w:r>
        <w:t>Abstract</w:t>
      </w:r>
    </w:p>
    <w:p>
      <w:r>
        <w:t>This study quantifies how manufacturer unit-size reductions (shrinkflation) affect Japan's package-adjusted consumer price index (CPI_pa) and consumer welfare. We combine three tools: measurement-error corrections (SIMEX and Bayesian error-in-variables) to adjust reported package sizes, instrumental-variable panel regressions using upstream input-cost shocks to identify cost-driven shrinkage, and experimental calibration to estimate consumer detection probabilities for size and price changes. Main contributions are (1) a formal SKU→CPI_pa and welfare mapping that produces decile-level consumer-surplus estimates, (2) a preregistered pipeline for promotions separation, multipack decomposition, and validation, and (3) an integrated decision rule that accepts corrected estimates only when validation shows bias and RMSE improvements. Expected outcomes are reproducible corrected CPI_pa estimates, validated detection curves that anchor policy thresholds (e.g., material shrinkage ≥5%), and evidence-based estimates of welfare loss and policy-relevant disclosure triggers. Results will inform measurement practice and regulatory design for transparent unit-price labeling.</w:t>
      </w:r>
    </w:p>
    <w:p>
      <w:r>
        <w:t xml:space="preserve"> </w:t>
      </w:r>
    </w:p>
    <w:p>
      <w:pPr>
        <w:pStyle w:val="Heading2"/>
      </w:pPr>
      <w:r>
        <w:t>Experiments</w:t>
      </w:r>
    </w:p>
    <w:p>
      <w:r>
        <w:t>Datasets: (1) Japanese scanner panel: SKU×retailer×month transactions (prices, quantities, promotions, UPC text, multipack counts); (2) barcode-validated labeled set: ≥5,000 SKU-months for measurement validation; (3) household expenditure microdata for reweighting; (4) upstream indices: commodity prices, packaging-material prices, freight indices, exchange rates, and tariff events. Experimental data: lab/online detection WTP experiments: pilot n=400 Japan, main n=1,500 (oversample low-income 30%, elderly 20%), randomized Δsize ∈ {1,3,5,10,15,20}% × Δprice ∈ {0,3,7%}; outcomes: detection (binary), WTP, choice share, trust. Baselines: (A) uncorrected CPI_pa (no measurement correction), (B) SIMEX-corrected estimates, (C) Bayesian EIV-corrected estimates, (D) hedonic-adjusted but uncorrected. Main estimands: CPI_pa_bias_t = CPI_pa_observed − CPI_pa_counterfactual(Δsize=0), ATE over flagged shrinkage SKUs, LATE via instrument Z = commodity_shock × import_exposure, and ΔCS by income decile (consumer-surplus change). Regression setup: panel fixed-effects regressions at SKU×month with controls (promotion flag, store × month FE, category × month FE), IV two-stage least squares (first stage: Δsize on Z), cluster SEs at retailer×month; if cluster count &lt;50 use wild-cluster bootstrap. SIMEX procedure: simulate additive size-noise with λ∈{0.5,1,1.5,2,3}, extrapolate to λ=−1, bootstrap SEs (1,000 draws). Bayesian EIV: priors Normal(0,1000) for structural β and Inv-Gamma(2,0.01) for measurement-error variance; report posterior median and 95% credible intervals with sensitivity grids. Promotion protocol: flag promotions from metadata; if missing, treat price discount &gt;5% or promo-label patterns as promotion; grace windows {1,3,6} months, primary 3 months. Multipack imputation: deterministic per-unit when counts exist; otherwise predictive-mean-matching MI and hot-deck within brand×category; propagate imputation uncertainty via Rubin’s rules. Evaluation metrics: CPI_pa_bias (pp), ATE and LATE estimates with SEs, ΔCS per decile, detection probability curves p(detect|Δsize,Δprice), precision/recall/F1 for shrinkage flags (targets: precision ≥95%, recall ≥90%), RMSE against barcode-validated set, coverage of bootstrap/confidence intervals. Ablations: (1) SIMEX vs Bayesian EIV vs no correction, (2) include vs exclude experimental detection calibration in welfare mapping, (3) IV vs OLS, (4) hedonic-controls included vs excluded. Decision rule: accept corrected estimates when validation shows ≥10% bias reduction and ≥10% RMSE improvement relative to uncorrected.</w:t>
      </w:r>
    </w:p>
    <w:p>
      <w:r>
        <w:t xml:space="preserve"> </w:t>
      </w:r>
    </w:p>
    <w:p>
      <w:pPr>
        <w:pStyle w:val="Heading2"/>
      </w:pPr>
      <w:r>
        <w:t>Risk Factors And Limitations</w:t>
      </w:r>
    </w:p>
    <w:p>
      <w:r>
        <w:t>Data quality: heaping, rounding, and missing multipack counts can violate classical measurement-error assumptions and bias SIMEX; barcode-validated subsample may be nonrepresentative. Promotion confounding: coupons, bundled discounts, and temporary offers may be misclassified as shrinkage, affecting unit-value measures. Instrument validity: commodity and freight shocks may correlate with demand or global shocks, weakening exclusion; instruments can be weak for many SKU-categories. Experimental transportability: lab/online detection probabilities may not generalize to real in-store exposure or elderly populations. Scalability and compute: SIMEX simulation grid, bootstrap, Bayesian sampling, and multiple-imputation across millions of SKU-months are computationally intensive. Inference limits: small cluster counts can undermine standard errors and require bootstrap methods with limited power. Policy thresholds: anchoring a fixed ≥5% rule may not map uniformly to welfare impacts across categories. Generalization: findings from Japan may not transfer to countries with different retail structures, packaging norms, or consumer sensitivity.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