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Integrated small-area smoothing and nested microsimulation to measure how demographic aging and household type shape income inequality in Central and Eastern Europe</w:t>
      </w:r>
    </w:p>
    <w:p>
      <w:r>
        <w:t xml:space="preserve"> </w:t>
      </w:r>
    </w:p>
    <w:p>
      <w:pPr>
        <w:pStyle w:val="Heading2"/>
      </w:pPr>
      <w:r>
        <w:t>Short Hypothesis</w:t>
      </w:r>
    </w:p>
    <w:p>
      <w:r>
        <w:t>Higher levels of demographic aging, measured by the share of elderly-headed and elderly-only households, cause larger increases in income inequality across age groups and household types between 2005 and 2022, and this causal effect is stronger in liberal post-socialist welfare states than in corporatist post-socialist welfare states.</w:t>
      </w:r>
    </w:p>
    <w:p>
      <w:r>
        <w:t xml:space="preserve"> </w:t>
      </w:r>
    </w:p>
    <w:p>
      <w:pPr>
        <w:pStyle w:val="Heading2"/>
      </w:pPr>
      <w:r>
        <w:t>Related Work</w:t>
      </w:r>
    </w:p>
    <w:p>
      <w:r>
        <w:t>Existing approaches estimate income inequality from household surveys, adjust top incomes with Pareto tails or administrative scaling, and apply spatial smoothing for small areas. Common methods include direct survey estimators (which ignore small-cell noise), Bayesian small-area models such as BYM2 (which borrow strength across neighboring areas but require careful prior tuning), and microsimulation for policy counterfactuals (which often omit full propagation of sampling, imputation, linkage and demographic uncertainty). Privacy-preserving releases use differential privacy (DP) but DP can distort extreme-tail statistics like top-1% shares. Linkage and record matching literature documents nontrivial false-match rates that inflate variance if not propagated. Limitations: (1) weak integration of top-tail reconciliation, small-area smoothing, DP, and nested uncertainty propagation; (2) instability in low-count age×household cells; (3) unclear DP choices for top incomes; (4) limited cross-country, welfare-regime comparisons that jointly account for these uncertainty sources.</w:t>
      </w:r>
    </w:p>
    <w:p>
      <w:r>
        <w:t xml:space="preserve"> </w:t>
      </w:r>
    </w:p>
    <w:p>
      <w:pPr>
        <w:pStyle w:val="Heading2"/>
      </w:pPr>
      <w:r>
        <w:t>Abstract</w:t>
      </w:r>
    </w:p>
    <w:p>
      <w:r>
        <w:t>Problem: Measure how demographic aging and household composition relate to income inequality by age and household type in Central and Eastern Europe (CEE) between 2005 and 2022, while providing robust uncertainty and disclosure-aware outputs. Approach: Combine harmonized EU-SILC microdata with Bayesian small-area smoothing (BYM2) at NUTS2-equivalent cells, Pareto-based top-income reconciliation against tax aggregates, and a nested microsimulation that propagates demographic posterior draws, multiple imputations, linkage uncertainty, and microsimulation replicates. Evaluate differential privacy (DP) mechanisms and simulated attacks to produce risk–utility curves and define controlled release options (public aggregates, synthetic microdata, secure enclave). Contribution: An integrated, reproducible pipeline that (a) yields uncertainty-aware Gini and top-1% estimates by age and household type, (b) quantifies sensitivity to BYM2 priors, top-tail choices and DP budgets, and (c) compares liberal vs corporatist post-socialist welfare typologies. Expected outcome: robust, policy-relevant estimates and maps with documented disclosure bounds and pre-registered pooling and reporting rules.</w:t>
      </w:r>
    </w:p>
    <w:p>
      <w:r>
        <w:t xml:space="preserve"> </w:t>
      </w:r>
    </w:p>
    <w:p>
      <w:pPr>
        <w:pStyle w:val="Heading2"/>
      </w:pPr>
      <w:r>
        <w:t>Experiments</w:t>
      </w:r>
    </w:p>
    <w:p>
      <w:r>
        <w:t>Datasets: EU-SILC microdata harmonized for target CEE countries (pilot: Poland, Czechia, Hungary; full: add Bulgaria, Romania, Slovakia, Slovenia, Croatia, Latvia, Lithuania, Estonia, Serbia mapped to NUTS2 equivalent) for survey years 2005 and 2022; national tax admin aggregates for top-income reconciliation; regional benchmarks (Eurostat) for validation. Baselines: (A) direct weighted survey estimates (no smoothing, no Pareto), (B) BYM2 smoothing only, (C) BYM2 smoothing + Pareto top-tail adjustment, (D) full pipeline: BYM2 + Pareto + linkage‑MI + nested microsim. Ablation studies: remove Pareto; vary BYM2 pooling thresholds {25,50,100}; vary adjacency {queen, kNN(5), distance}; vary number of imputations M in {5,10,20}; compare DP settings ε∈{0.1,0.25,0.5,1.0,2.0} and δ∈{1e-6,1e-8}. Nested design and runs: demographic draws D∈{500,1000,2000}, microsim replicates R∈{50,100,200}, linkage draws L∈{10,50}. Evaluation metrics: Gini coefficient and standard error, top-1% share and SE, RMSE and coverage of regional estimates vs admin benchmarks, MCSE (Monte Carlo standard error), effective sample size D_eff estimated from lag-1 autocorrelation ρ, disclosure risk measures: membership re-identification probability and attribute reconstruction error under simulated attackers. Experimental setup: harmonize headship and equivalence scales (modified OECD, OECD, square-root) and run each configuration; run BYM2 prior grid U∈{0.25,0.5,1.0} and α∈{0.01,0.05,0.1}; perform spatial block cross-validation (k≈5 contiguous folds) to compute RMSE/coverage; fit Pareto tail with x_min via KS minimization and compute bootstrap SE(alpha); run DP Gaussian mechanism with RDP accounting and simulate membership/attribute attacks to estimate disclosure probability per ε. Comparison: report metric changes and uncertainty between baselines A–D, and present sensitivity surfaces for key choices (BYM2 prior, Pareto vs admin-replace, DP ε).</w:t>
      </w:r>
    </w:p>
    <w:p>
      <w:r>
        <w:t xml:space="preserve"> </w:t>
      </w:r>
    </w:p>
    <w:p>
      <w:pPr>
        <w:pStyle w:val="Heading2"/>
      </w:pPr>
      <w:r>
        <w:t>Risk Factors And Limitations</w:t>
      </w:r>
    </w:p>
    <w:p>
      <w:r>
        <w:t>1) Differential privacy and top-tail distortion: DP noise, especially at tight ε, can bias extreme-tail statistics (top-1%); top-income conclusions may require restricted access or admin reconciliation. 2) Small-cell instability: low unweighted n and high design effects cause high variance in age×household×region cells; results depend on pooling thresholds and BYM2 prior tuning. 3) Pooling and imputation choices: number of imputations M and D_eff estimation (using AR(1) lag-1 ρ) affect MCSE; mis-estimated D_eff will misstate uncertainty. 4) Linkage errors: false-match rates inflate between-run variance; outer link‑MI loops increase compute cost. 5) Computation and runtime: nested runs with D=2000 and R=200 are compute intensive (thousands of CPU-hours); resource limits may force reduced designs. 6) Generalization limits: conclusions apply to sampled EU-SILC populations and the selected CEE countries and welfare typologies; unobserved behavioral responses and unmeasured institutional detail may limit causal claims. 7) Validation dependence: admin benchmark quality varies by country; reconciliation failure in some countries may force alternative tail treatments and widen uncertainty. 8) Legal/governance constraints: GDPR and national rules may restrict microdata or admin-linked releases, limiting replication and external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