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ewaste_dismantling_cf_accounting</w:t>
      </w:r>
    </w:p>
    <w:p>
      <w:r>
        <w:t xml:space="preserve"> </w:t>
      </w:r>
    </w:p>
    <w:p>
      <w:pPr>
        <w:pStyle w:val="Heading2"/>
      </w:pPr>
      <w:r>
        <w:t>Title</w:t>
      </w:r>
    </w:p>
    <w:p>
      <w:r>
        <w:t>Field-based hierarchical carbon footprint accounting that links daily facility electricity consumption to daily dismantling volumes for China's e-waste dismantling processes</w:t>
      </w:r>
    </w:p>
    <w:p>
      <w:r>
        <w:t xml:space="preserve"> </w:t>
      </w:r>
    </w:p>
    <w:p>
      <w:pPr>
        <w:pStyle w:val="Heading2"/>
      </w:pPr>
      <w:r>
        <w:t>Short Hypothesis</w:t>
      </w:r>
    </w:p>
    <w:p>
      <w:r>
        <w:t>Matching daily electricity consumption of dismantling facilities to daily dismantling volumes for each e-waste type produces emission factors that reduce the uncertainty (measured as coefficient of variation) of site-level carbon footprints by at least 25% versus methods using monthly or facility-aggregate energy averages.</w:t>
      </w:r>
    </w:p>
    <w:p>
      <w:r>
        <w:t xml:space="preserve"> </w:t>
      </w:r>
    </w:p>
    <w:p>
      <w:pPr>
        <w:pStyle w:val="Heading2"/>
      </w:pPr>
      <w:r>
        <w:t>Related Work</w:t>
      </w:r>
    </w:p>
    <w:p>
      <w:r>
        <w:t>Existing work on e-waste carbon accounting and life cycle assessment (LCA) uses hierarchical frameworks, statistical variance estimation, and pilot studies, but typically relies on aggregated energy or throughput data (monthly or annual averages) and limited field measurements. Prior approaches estimate variance components with REML or Bayesian mixed models but rarely match high-frequency (daily) energy use to daily dismantling volume, which leaves within-event and event-level variance undercharacterized. Censoring and non-detect handling for low-concentration pollutants are inconsistently treated, and adaptive sampling guided by economic value-of-information (EVPPI) is seldom implemented in field campaigns. Limitations include dependence on convenience samples in informal sectors, coarse temporal alignment between activity and energy, sparse reporting of LOQs/QAQC thresholds, and lack of pre-specified, reproducible priors and model equations for decision-ready sampling.</w:t>
      </w:r>
    </w:p>
    <w:p>
      <w:r>
        <w:t xml:space="preserve"> </w:t>
      </w:r>
    </w:p>
    <w:p>
      <w:pPr>
        <w:pStyle w:val="Heading2"/>
      </w:pPr>
      <w:r>
        <w:t>Abstract</w:t>
      </w:r>
    </w:p>
    <w:p>
      <w:r>
        <w:t>Problem: National carbon inventories for e-waste dismantling in China are uncertain because emission factors are derived from aggregated data and sparse field measures. Approach: We develop a field-based hierarchical accounting method that links daily electricity consumption of energy-using facilities to daily dismantling volumes for five e-waste types, producing a dismantling-process carbon inventory. The method estimates variance components across region, site, process, and event levels using REML and Bayesian hierarchical models, runs parametric simulations across plausible σ (standard deviation) and ICC (intra-class correlation) grids, and optimizes sample allocation under cost constraints. Main contribution: A reproducible pipeline that (1) produces posterior distributions of emission factors on the log scale, (2) compares censored-data treatments (substitution, Kaplan–Meier, Bayesian censoring), and (3) uses EVPPI to drive adaptive sampling with explicit stop/go rules tied to monetized decision value. Expected outcome: Lowered uncertainty in emission factors, cost-efficient sampling strategies, and defensible LCA inputs for policy decisions.</w:t>
      </w:r>
    </w:p>
    <w:p>
      <w:r>
        <w:t xml:space="preserve"> </w:t>
      </w:r>
    </w:p>
    <w:p>
      <w:pPr>
        <w:pStyle w:val="Heading2"/>
      </w:pPr>
      <w:r>
        <w:t>Experiments</w:t>
      </w:r>
    </w:p>
    <w:p>
      <w:r>
        <w:t>Datasets: (1) Field pilot: daily electricity consumption logs and daily dismantling volumes for five e-waste types from K sites across 4–5 regions, with K = {25,30,40} scenarios and m = {1,2,5} events per site (target total events 30–200). (2) Laboratory results: analyte concentrations (metals, BFRs, dioxins) with LOQ/LOD metadata and chain-of-custody. (3) Validation holdout: additional 10 sites for external check. Baselines: (A) Monthly-aggregated energy matching (current practice), (B) facility-aggregate EF estimation, (C) REML-only variance estimates. Models and tools: REML with lme4 for variance partition; Bayesian hierarchical models in brms/cmdstanr (log-EF response, Half-Student-t SD priors); Stan seed=20260117 and R seed set.seed(20260117). Evaluation metrics: coefficient of variation (CV) of site EFs, 95% credible interval (CI) half-width for mean EFs, RMSE of national extrapolated emissions against holdout, bias in between-site variance (%), EVPPI (monetized) vs marginal sampling cost, and Monte Carlo SE for EVPPI (&lt;5% target). Experimental setup: 1) Pilot analysis: estimate σ_region, σ_site, σ_process, σ_event via REML and brms; produce VPC/ICC tables. 2) Simulation grid: parametric data simulated over σ relative-to-mean = {0.2,0.4,0.6,1.0} and ICC = {0.05,0.15,0.25,0.4,0.6}; produce sample-size (K vs m) and cost curves under C0(per-site)={200,800,1200} USD and c(per-sample)={50,200,800,1500} USD. 3) Ablation: compare daily-matched energy vs monthly-aggregate; compare ND handling methods (LOQ/2 substitution, Kaplan–Meier, Bayesian censored) feeding into LCA posterior draws. 4) EVPPI: compute via Gaussian-process regression on brms posterior draws (≥10k draws) and validate with nested MC; report EVPPI CI and probability EVPPI&gt;cost under SCC scenarios {10,50,200} USD/tCO2e. Outputs: variance estimates, K–m allocation tables, sample-size recommendations for target CI half-widths (±5%, ±10%), and decision tables of EVPPI-driven expansions.</w:t>
      </w:r>
    </w:p>
    <w:p>
      <w:r>
        <w:t xml:space="preserve"> </w:t>
      </w:r>
    </w:p>
    <w:p>
      <w:pPr>
        <w:pStyle w:val="Heading2"/>
      </w:pPr>
      <w:r>
        <w:t>Risk Factors And Limitations</w:t>
      </w:r>
    </w:p>
    <w:p>
      <w:r>
        <w:t>1) Access and representativeness: informal sites may be convenience-sampled, causing selection bias that limits national extrapolation. 2) Measurement limits: laboratory LOQs may be too high for some analytes (dioxins/BFRs), producing heavy censoring and inflated uncertainty. 3) Non-detects: high ND rates (&gt;50%) reduce estimator precision and may bias EFs if substitution methods are used. 4) Insufficient clusters: K &lt; 30 can yield large relative error in between-site variance estimates and unstable ICCs. 5) Model misspecification: incorrect hierarchical structure or priors can bias posterior variance components. 6) Correlated parameters: strong correlations among EFs, activity rates, and costs can change EVPPI rankings and sampling priorities. 7) Computational cost: EVPPI via nested Monte Carlo is expensive; GP surrogates may introduce approximation error. 8) Policy valuation sensitivity: results depend on SCC and health monetisation assumptions, limiting robustness of stop/go rules. 9) Generalization: findings calibrated to sampled regions and facility types may not generalize to other provinces or future practice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