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Research Pipeline</w:t>
      </w:r>
    </w:p>
    <w:p>
      <w:r>
        <w:t xml:space="preserve"> </w:t>
      </w:r>
    </w:p>
    <w:p>
      <w:pPr>
        <w:pStyle w:val="Heading2"/>
      </w:pPr>
      <w:r>
        <w:t>Name</w:t>
      </w:r>
    </w:p>
    <w:p>
      <w:r>
        <w:t>cpas_mediation_ngodensity</w:t>
      </w:r>
    </w:p>
    <w:p>
      <w:r>
        <w:t xml:space="preserve"> </w:t>
      </w:r>
    </w:p>
    <w:p>
      <w:pPr>
        <w:pStyle w:val="Heading2"/>
      </w:pPr>
      <w:r>
        <w:t>Title</w:t>
      </w:r>
    </w:p>
    <w:p>
      <w:r>
        <w:t>Pre-registered mediation analysis using sequential g-estimation and multilevel latent-variable SEM to test whether corporate purpose enactment (CPAS) mediates the effect of regional NGO density on firm strategic renewal</w:t>
      </w:r>
    </w:p>
    <w:p>
      <w:r>
        <w:t xml:space="preserve"> </w:t>
      </w:r>
    </w:p>
    <w:p>
      <w:pPr>
        <w:pStyle w:val="Heading2"/>
      </w:pPr>
      <w:r>
        <w:t>Short Hypothesis</w:t>
      </w:r>
    </w:p>
    <w:p>
      <w:r>
        <w:t>Higher regional NGO density increases firm strategic renewal by raising firm corporate purpose enactment scores (CPAS) within three years.</w:t>
      </w:r>
    </w:p>
    <w:p>
      <w:r>
        <w:t xml:space="preserve"> </w:t>
      </w:r>
    </w:p>
    <w:p>
      <w:pPr>
        <w:pStyle w:val="Heading2"/>
      </w:pPr>
      <w:r>
        <w:t>Related Work</w:t>
      </w:r>
    </w:p>
    <w:p>
      <w:r>
        <w:t>Existing work links corporate purpose to renewal using diverse methods: simple regression and standard mediation models, instrumental variables (IV), difference-in-differences (DiD), synthetic control, and mixed qualitative-quantitative designs. Recent advances emphasize causal mediation, robust estimation (e.g., weak-IV robust tests), and combined qualitative validation. Limitations remain: (1) CPAS (corporate purpose enactment score) measurement is inconsistent across studies and often lacks formal measurement-invariance testing across industries, countries, and time; (measurement invariance means the measure works the same way in different groups) (2) many causal designs ignore time-varying confounders that are affected by prior exposure, creating bias in mediator estimates (this is a confounding problem over time) (3) spatial spillovers and firm sorting (firms self-selecting into regions) are under-addressed; (4) sensitivity thresholds (rho, E-values) are rarely calibrated against real confounder strengths; and (5) reproducibility and pre-registration are uneven. These weaknesses leave mediation claims fragile and context-bound.</w:t>
      </w:r>
    </w:p>
    <w:p>
      <w:r>
        <w:t xml:space="preserve"> </w:t>
      </w:r>
    </w:p>
    <w:p>
      <w:pPr>
        <w:pStyle w:val="Heading2"/>
      </w:pPr>
      <w:r>
        <w:t>Abstract</w:t>
      </w:r>
    </w:p>
    <w:p>
      <w:r>
        <w:t>This study tests whether regional NGO density drives firm strategic renewal through changes in corporate purpose enactment (CPAS). We combine two complementary causal estimators: sequential g-estimation (which adjusts for time-varying confounders that may be affected by prior exposure) and multilevel latent-variable SEM (structural equation modeling that corrects CPAS measurement error through factor models). We pre-register a full DAG (directed acyclic graph) with candidate unmeasured causes and a 0–3 year lag grid. Empirical evidence will use a multi-wave panel of firms (survey CPAS items, firm outcomes, archival financials), regional NGO density and municipal policy indicators, plus NLP-derived purpose signals from corporate texts. Main contributions are (1) a reproducible, calibrated mediation protocol combining dynamic identification and latent-measure correction, (2) Monte Carlo power and bias tables under conservative ICC, measurement-error and attrition scenarios, and (3) robustness frontiers for rho and E-values mapped to plausible confounder strengths. Expected outcomes: transparent, testable estimates of indirect effects with clear bounds on credibility across contexts.</w:t>
      </w:r>
    </w:p>
    <w:p>
      <w:r>
        <w:t xml:space="preserve"> </w:t>
      </w:r>
    </w:p>
    <w:p>
      <w:pPr>
        <w:pStyle w:val="Heading2"/>
      </w:pPr>
      <w:r>
        <w:t>Experiments</w:t>
      </w:r>
    </w:p>
    <w:p>
      <w:r>
        <w:t>Datasets: (1) Primary panel: n firms = 300–400 with three annual waves of survey CPAS (6 items, 1–7 Likert), firm financials (revenue growth, R&amp;D, CAPEX), and renewal outcomes (new product launches, strategic reorganization indicators); (2) Regional data: NGO density by region-year, GDP growth, unemployment, HHI industry concentration, municipal policy dummies; (3) Archival text corpus: company reports and news (NLP annotations); (4) Validation subsample: ~50 firms with document audits for CPAS. Baselines: (A) naive OLS mediation (no time-varying confounder correction), (B) Imai-style causal mediation with observed covariates, (C) IV two-stage least squares mediation (where instrument plausible), (D) staggered DiD/event-study (Callaway &amp; Sant’Anna and Sun &amp; Abraham corrections). Proposed methods: (1) sequential g-estimation of a structural nested mean model (SNMM) with additive form and option for multiplicative link; (2) multilevel latent-variable SEM with multilevel CFA and latent ACME estimation. Evaluation metrics: ACME point estimates and 95% CI coverage (coverage = proportion CIs containing true effect in simulations), bias, RMSE, first-stage F-statistics (for IV), Hansen J p-values (overidentification), Monte Carlo power, Type I error, and for NLP tasks: ROC-AUC and calibration (Brier score, expected calibration error ECE). Experimental setup: (a) Pre-specified lag grid 0–3 years; report period-specific ACME (t+1,t+2,t+3) and cumulative sum; (b) Monte Carlo designs: effect size priors for true ACME = {0.10,0.15,0.20 standardized}, total effect = {0.30,0.40}, ICCs = {0.10,0.20}, measurement reliability (alpha/omega) = {0.6,0.8,0.95}, attrition = {10%,20%,30%}, cluster size mean=3 SD=1; run 1,000 replications per cell; report required n for 80% power under each scenario; (c) Ablations: remove measurement-error correction (use raw CPAS), remove time-varying confounder adjustment (use static covariates), replace g-estimation with standard mediation to isolate bias; (d) Sensitivity studies: compute Imai rho curves, VanderWeele bounds, E-values and a robustness frontier mapping unmeasured-confounder effect sizes (drawn from auxiliary data) to the ACME null point; (e) Spatial tests: vary Conley radii = {25km,50km,100km}, run spatial lag and exclusion-band analyses; (f) Reporting: publish code to reproduce simulations, pre-registered decision rules, and diagnostics including balance checks, SEM fit indices (CFI, RMSEA), and g-estimation residual plots.</w:t>
      </w:r>
    </w:p>
    <w:p>
      <w:r>
        <w:t xml:space="preserve"> </w:t>
      </w:r>
    </w:p>
    <w:p>
      <w:pPr>
        <w:pStyle w:val="Heading2"/>
      </w:pPr>
      <w:r>
        <w:t>Risk Factors And Limitations</w:t>
      </w:r>
    </w:p>
    <w:p>
      <w:r>
        <w:t>1. NGO density exogeneity: NGO density may correlate with unmeasured regional trends; instruments or quasi-exogenous shocks may be weak or unavailable. 2. Unmeasured mediator–outcome confounding: Even with g-estimation, strong unobserved confounders can bias ACME; sensitivity calibration may not fully eliminate doubt. 3. Measurement error: Non-classical errors in CPAS items (systematic bias) can invalidate regression calibration and latent corrections. 4. Low statistical power: Indirect effects are typically small; subgroup or moderated mediation tests may be underpowered with feasible samples. 5. Attrition and missing data: High wave dropout can bias longitudinal mediation estimates and reduce precision. 6. Spatial spillovers and sorting: Nearby-region effects and firm relocation can violate exclusion rules and complicate identification. 7. NLP domain shift: Text models may misclassify purpose signals across industries, languages, or years, reducing measurement validity. 8. Cross-jurisdiction data limits: Legal and privacy constraints may prevent full data sharing and hinder external replication. 9. Computation and convergence: SNMM and multilevel SEM may face convergence issues in small samples or with weak identification. 10. Generalizability: Results may not extend to SMEs, informal sectors, or regions not represented in the sample.</w:t>
      </w:r>
    </w:p>
    <w:p>
      <w:r>
        <w:t xml:space="preserve">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