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Quantifying impacts of land use and land cover change on ecosystem service value in Qianyang County using spatial statistics and PLUS model scenarios</w:t>
      </w:r>
    </w:p>
    <w:p>
      <w:r>
        <w:t xml:space="preserve"> </w:t>
      </w:r>
    </w:p>
    <w:p>
      <w:pPr>
        <w:pStyle w:val="Heading2"/>
      </w:pPr>
      <w:r>
        <w:t>Short Hypothesis</w:t>
      </w:r>
    </w:p>
    <w:p>
      <w:r>
        <w:t>Land use and land cover changes in Qianyang County from 2007 to 2022 caused a net decrease in total ecosystem service value (ESV) that exceeds the combined uncertainty from classification and valuation.</w:t>
      </w:r>
    </w:p>
    <w:p>
      <w:r>
        <w:t xml:space="preserve"> </w:t>
      </w:r>
    </w:p>
    <w:p>
      <w:pPr>
        <w:pStyle w:val="Heading2"/>
      </w:pPr>
      <w:r>
        <w:t>Related Work</w:t>
      </w:r>
    </w:p>
    <w:p>
      <w:r>
        <w:t>Prior work combines remote sensing classification, ecosystem service valuation by benefit transfer, spatial statistics for pattern analysis, and land‑use scenario models. Remote sensing studies map LULC change but often treat classification errors as nonspatial and propagate area estimates without full spatial uncertainty. Valuation studies use meta‑regression or benefit transfer to assign monetary values but often report transfer error without propagating it through spatial ensembles. Spatial validation methods (spatial cross‑validation, block bootstrap) exist but vary in fold construction and rarely tie fold choice to variogram range or show simulation‑based CI coverage. Conditional simulation methods for categorical maps (indicator kriging, Markov random fields, sequential simulation) are used, yet comparisons on patch coherence and MMU (minimum mapping unit) detectability are limited. PLUS model is used for future LULC scenarios but calibration uncertainty and its effect on ESV are often under‑quantified. Common limitations: insufficient spatially aware uncertainty propagation, lack of prescriptive numeric sampling/validation gates, and weak links between scenario uncertainty and valuation transfer error.</w:t>
      </w:r>
    </w:p>
    <w:p>
      <w:r>
        <w:t xml:space="preserve"> </w:t>
      </w:r>
    </w:p>
    <w:p>
      <w:pPr>
        <w:pStyle w:val="Heading2"/>
      </w:pPr>
      <w:r>
        <w:t>Abstract</w:t>
      </w:r>
    </w:p>
    <w:p>
      <w:r>
        <w:t>This study measures how land use and land cover (LULC) changes affect ecosystem service value (ESV) in Qianyang County by combining high‑resolution historical LULC, spatially aware uncertainty methods, and PLUS model scenarios for 2050. We will compute per‑class effective sample sizes (Neff) using empirical semivariograms, compare categorical conditional‑simulation methods for generating spatial LULC ensembles, and define a neighborhood‑weighted spatial error term for ensemble weighting. We propagate classification ensembles (many realizations) through InVEST‑style valuation using meta‑regression–derived transfer coefficients with explicit priors. We simulate 2050 LULC with the PLUS model under alternative driver sets and quantify how scenario and valuation priors affect spatial ESV estimates. The main contribution is a reproducible pipeline that links spatial validation, categorical simulation, scenario modeling, and valuation uncertainty into joint ESV distributions with clear numeric acceptance gates for sampling, calibration, and MMU. Expected outcome: spatial maps and county totals of ESV with calibrated confidence intervals and diagnostics showing which assumptions drive monetary uncertainty.</w:t>
      </w:r>
    </w:p>
    <w:p>
      <w:r>
        <w:t xml:space="preserve"> </w:t>
      </w:r>
    </w:p>
    <w:p>
      <w:pPr>
        <w:pStyle w:val="Heading2"/>
      </w:pPr>
      <w:r>
        <w:t>Experiments</w:t>
      </w:r>
    </w:p>
    <w:p>
      <w:r>
        <w:t>Datasets: 2007–2022 30 m LULC maps for Qianyang County; pilot high‑resolution imagery and field validation points (GPS points with class labels); assembled valuation studies for meta‑regression. Baselines: (1) deterministic LULC change with area‑only ESV (no spatial uncertainty), (2) naive multinomial sampling for ensembles, (3) PLUS default scenario runs. Methods to test: per‑class Neff estimation (semivariogram → lag‑1 rho → Neff), conditional simulation methods (indicator kriging/simulation, multi‑category MRF, sequential Gaussian simulation on indicators), calibration methods (Platt vs isotonic), ensemble weighting schemes (AUC-only; AUC+spatial_error; multi‑criteria), InVEST inputs (fractional pixels vs hard classes), PLUS scenarios (three driver sets). Evaluation metrics: per‑class area bias and 95% CI coverage; spatially‑weighted misclassification rate (neighborhood kernel); AUC and Brier score and Expected Calibration Error (ECE) per class; patch‑size distribution KS test with block bootstrap; RMSE and bias of county total ESV; CI width and nominal coverage for ESV (target 95%); compute wall‑time and cost per 100, 500, 1000 realizations. Experimental setup: generate M=1000 ensemble LULC realizations for full pipeline where feasible and M=200 for heavier ablations; construct spatial CV folds with block sizes equal to variogram range and test alternative sizes (range/2, range, 2×range) including anisotropic tiling. Ablation studies: (A) remove spatial_error from ensemble weighting to measure ESV sensitivity; (B) compare fractional vs hard‑class InVEST inputs; (C) compare conditional simulation methods on patch metrics and downstream ESV RMSE. Simulation validation: synthetic spatial processes (anisotropic covariances and non‑AR(1) structures) to test chosen block sizes for correct CI coverage.</w:t>
      </w:r>
    </w:p>
    <w:p>
      <w:r>
        <w:t xml:space="preserve"> </w:t>
      </w:r>
    </w:p>
    <w:p>
      <w:pPr>
        <w:pStyle w:val="Heading2"/>
      </w:pPr>
      <w:r>
        <w:t>Risk Factors And Limitations</w:t>
      </w:r>
    </w:p>
    <w:p>
      <w:r>
        <w:t>Technical failure modes: PLUS model calibration may not converge for some driver sets; conditional simulation methods may produce unrealistic label configurations for rare classes. Data limitations: field validation may be delayed or insufficient for rare classes, producing large Neff shortfalls. Evaluation biases: irregular sampling geometry and anisotropy can invalidate simple Neff approximations and spatial CV folds; KS test on patch sizes may miss spatial arrangement differences. Computational limits: M=1000 realizations with InVEST is compute‑intensive and may exceed budget or wall‑time; IO bottlenecks for large tile sets. Valuation limits: meta‑regression transfer error and publication bias can understate true uncertainty; monetary estimates depend on chosen discount rates and carbon price scenarios. Generalization: methods and numeric gates tuned to Qianyang County may not transfer to regions with very different landscape fragmentation or socio‑economic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