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dvt_protection_motivation_scale</w:t>
      </w:r>
    </w:p>
    <w:p>
      <w:r>
        <w:t xml:space="preserve"> </w:t>
      </w:r>
    </w:p>
    <w:p>
      <w:pPr>
        <w:pStyle w:val="Heading2"/>
      </w:pPr>
      <w:r>
        <w:t>Title</w:t>
      </w:r>
    </w:p>
    <w:p>
      <w:r>
        <w:t>Development and validation of a protection-motivation-theory-based scale to measure patient motivation for postdischarge deep vein thrombosis prophylaxis after hip and knee arthroplasty</w:t>
      </w:r>
    </w:p>
    <w:p>
      <w:r>
        <w:t xml:space="preserve"> </w:t>
      </w:r>
    </w:p>
    <w:p>
      <w:pPr>
        <w:pStyle w:val="Heading2"/>
      </w:pPr>
      <w:r>
        <w:t>Short Hypothesis</w:t>
      </w:r>
    </w:p>
    <w:p>
      <w:r>
        <w:t>A higher baseline score on the protection-motivation-theory-based motivation scale causes higher objective anticoagulant adherence (greater percent doses taken by MEMS) during days 0–30 after discharge.</w:t>
      </w:r>
    </w:p>
    <w:p>
      <w:r>
        <w:t xml:space="preserve"> </w:t>
      </w:r>
    </w:p>
    <w:p>
      <w:pPr>
        <w:pStyle w:val="Heading2"/>
      </w:pPr>
      <w:r>
        <w:t>Related Work</w:t>
      </w:r>
    </w:p>
    <w:p>
      <w:r>
        <w:t>Existing work includes (1) generic self-report medication-adherence questionnaires and single-item self-efficacy/risk-perception measures, (2) behavior-change theory applications (including protection motivation theory) to predict adherence in diverse conditions, and (3) psychometric scale development using exploratory and confirmatory factor analysis. Limitations of current approaches: most adherence measures rely on self-report (subject to bias) rather than objective electronic monitoring; theory-based measures are rarely specific to post-arthroplasty DVT prophylaxis and thus miss context-specific beliefs (for example, mobility-related barriers and bleeding anxiety after surgery); many prior scales lack modern item-response-theory (IRT) calibration and formal differential item functioning (DIF) checks across subgroups; few studies integrate psychometrics with clustered, multi-site designs or predefine rules for device-based adjudication, missing-data handling, and adaptive sampling (VOI) for nested monitoring substudies. These gaps reduce measurement validity, predictive utility, and reproducibility for the postdischarge arthroplasty setting.</w:t>
      </w:r>
    </w:p>
    <w:p>
      <w:r>
        <w:t xml:space="preserve"> </w:t>
      </w:r>
    </w:p>
    <w:p>
      <w:pPr>
        <w:pStyle w:val="Heading2"/>
      </w:pPr>
      <w:r>
        <w:t>Abstract</w:t>
      </w:r>
    </w:p>
    <w:p>
      <w:r>
        <w:t>Postdischarge prevention of deep vein thrombosis (DVT) after hip or knee arthroplasty depends on patients taking anticoagulant prophylaxis, but motivation drivers are poorly measured. We propose to develop and validate a motivation scale grounded in protection motivation theory (PMT; a theory that links threat appraisal and coping appraisal to protective behavior) tailored to post-arthroplasty DVT prophylaxis. Items will be generated from literature, patient interviews, and expert review, then tested in a multi-site cross-sectional survey with an embedded electronic monitoring (MEMS) substudy. Main contributions: (1) a psychometrically validated PMT-based instrument with IRT-calibrated short form, (2) preregistered SOPs for MEMS adjudication and missing-data rules, and (3) demonstration of predictive validity versus objective adherence (MEMS percent doses days 0–30). Expected outcome: a reproducible, theory-grounded tool that predicts objective adherence and identifies modifiable cognitive targets for interventions to improve thromboprophylaxis after arthroplasty. The scale and analytic code will be published to support replication and secondary research.</w:t>
      </w:r>
    </w:p>
    <w:p>
      <w:r>
        <w:t xml:space="preserve"> </w:t>
      </w:r>
    </w:p>
    <w:p>
      <w:pPr>
        <w:pStyle w:val="Heading2"/>
      </w:pPr>
      <w:r>
        <w:t>Experiments</w:t>
      </w:r>
    </w:p>
    <w:p>
      <w:r>
        <w:t>Study design: cross-sectional validation with prospective 30-day electronic adherence monitoring. Target enrollment scenarios: N=600 (8 sites × 75) and N=800 (12 sites × ~67). MEMS substudy: 15–25% of cohort stratified by site and anticoagulant, minimum 10–15 MEMS per site. Item generation: literature review, 20–30 cognitive interviews, pilot N≈50. Psychometric split: random split-sample 60% EFA (exploratory factor analysis) / 40% CFA (confirmatory factor analysis). IRT (graded-response model) fit on full calibration sample to estimate item discrimination and difficulty (technical term: discrimination = how well an item differentiates people with different motivation; difficulty = trait level where item is informative). DIF (differential item functioning) tests across anticoagulant type, age strata, and literacy; flag practical DIF if difficulty shift &gt;0.5 SD or R-squared change &gt;0.02. Short-form selection criteria: IRT discrimination ≥1.0, information concentrated at θ ≤ 0, minimal DIF, and retained content coverage. Reliability: omega (internal consistency) and test information function. Predictive validity: primary outcome continuous MEMS% doses taken days 0–30 (MEMS% is percent of expected doses observed by electronic bottle openings). Primary model: two-level linear mixed model (LMM) with site random intercepts, outcome = MEMS% (bounded 0–100); report standardized regression coefficient (beta per 1 SD in scale score) and mean difference per 1 SD. Secondary model: mixed-effects logistic regression for binary nonadherence (&lt;80% doses or any gap &gt;48 hours DOAC/&gt;72 hours LMWH); report odds ratio if binary used. Covariates: age, sex, BMI, prior VTE, anticoagulant type, eGFR, length of stay, SES/insurance, caregiver presence, baseline mobility. Missing data: multilevel MICE (include site random effects), m=20 if ≤20% missing, m=50 if &gt;20%; MNAR sensitivity via pattern-mixture delta shifts (−5%, −10%, −20%). Baselines for comparison: (A) generic self-report adherence questionnaire score, (B) single-item self-efficacy, (C) pharmacy refill PDC (proportion of days covered). Ablation studies: (1) use sum-score versus IRT-derived theta score in predictive models; (2) full-scale versus short-form predictive performance; (3) MEMS-based outcome versus PDC-based outcome. Model diagnostics: residual plots, consider beta regression or zero/one-inflated models if MEMS% distribution is skewed or bounded. Reproducibility: seeded simulation scripts and analysis R code (fixed RNG seed) published with package versions and example datasets (synthetic).</w:t>
      </w:r>
    </w:p>
    <w:p>
      <w:r>
        <w:t xml:space="preserve"> </w:t>
      </w:r>
    </w:p>
    <w:p>
      <w:pPr>
        <w:pStyle w:val="Heading2"/>
      </w:pPr>
      <w:r>
        <w:t>Risk Factors And Limitations</w:t>
      </w:r>
    </w:p>
    <w:p>
      <w:r>
        <w:t>Measurement error: MEMS openings may not equal ingestion (pocketing, decanting), causing misclassification. Self-report bias: cognitive interviews and questionnaires may still suffer social desirability. Sample-size and clustering: site clustering reduces effective sample size; small ICC estimation errors can change power. Bounded/skewed outcome: MEMS% is 0–100 and may be non-normal, challenging LMM assumptions. IRT model failure: items may not fit uni-dimensional IRT models, limiting scale scoring. DIF and generalizability: items may function differently across subgroups (age, language, anticoagulant), limiting comparability. Missing data MNAR: missingness driven by unobserved factors (e.g., hospitalization) can bias estimates despite sensitivity analyses. Adaptive VOI complexity: translating VOI optimization into operational reallocation may be infeasible under logistic constraints. External validity: findings may not generalize beyond hip/knee arthroplasty or settings with different follow-up practices. Computational reproducibility: differences in software or seeds could impede exact replication if containerization is not used.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