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optimal_bank_capital_tradeoff_model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Bayesian trade-off corporate finance model combining cost-of-leverage and Merton approaches to compute optimal bank capital under liquidity premia and contagion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For a given bank with fixed asset risk and debt characteristics, there exists an interior equity-to-assets ratio that minimizes the bank's weighted average cost of capital (WACC) by balancing reduced failure probability against the loss of debt tax shields and higher liquidity premium.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two main strands: (1) trade-off corporate finance models that balance tax shields and distress costs but typically treat distress in ad hoc ways and ignore liquidity premiums and resolution regimes; (2) structural credit models (Merton-type) that compute default probabilities from asset dynamics but do not directly embed debt tax shields, liquidity premia, or regulatory bail-in credibility. Empirical practice uses SIMEX and other measurement-error corrections or Bayesian latent-variable methods to correct noisy market proxies, and network reconstruction methods (maximum-entropy, gravity) to estimate interbank links. Limitations: prior work rarely integrates cost-of-leverage adjustments (loss of debt tax shields), liquidity premium effects, bail-in credibility mapping, contagion in one coherent calibration; measurement-error treatments are often separated from final Bayesian uncertainty propagation; network uncertainty and pre-registered decision rules for weak instruments are under-specified.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how banks' equity choices affect their funding costs by developing a unified model that integrates cost-of-leverage adjustments and a Merton-style structural default model within a hierarchical Bayesian calibration. The model quantifies how equity levels change weighted average cost of capital (WACC) through three channels: lost debt tax shields, liquidity premium on funding, and reduced failure probability; it also maps TLAC/bail-in credibility into default and funding primitives and allows contagion through reconstructed interbank networks. Main contributions are (i) a coherent theoretical mapping combining Fernandez-style cost-of-leverage with Merton probability-of-default mechanics, (ii) a Bayesian pipeline that absorbs SIMEX-informed measurement-error priors and pre-registered decision rules for instrument validity, and (iii) numerical optimal-capital profiles and capital-requirement counterfactuals across firm and country characteristics. Expected outcome: policy-grade posterior distributions for optimal capital that transparently reflect measurement, network, and regulatory uncertainty and that can inform capital-setting choices.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bank-level balance sheets and income (Call Reports / Orbis Bank Focus), daily CDS spreads (Markit/Bloomberg), option-implied equity volatilities, bond/TLAC spreads, supervisory bilateral exposures where available, BIS international banking statistics, country-level legal/regulatory indices. Baselines: (A) pure trade-off model that ignores liquidity premium and contagion; (B) Merton-only structural rule that ignores debt tax shields; (C) Bayesian model without contagion; (D) SIMEX-only measurement-error correction followed by plug-in estimation. Model specification: hierarchical Bayesian model with priors: regression coefficients Normal(0,1) after standardization; hierarchical SDs half-Normal(0,0.5); correlation LKJ(eta=1); measurement-error SD half-Normal centered on validation estimates. Use SIMEX (lambda in {0,1,2,3}) to form informative prior centers. Estimation: NUTS/HMC, 4 chains, 2000 warmup, 2000 post-warmup draws, seed and Dockerized environment. Evaluation metrics: estimated optimal equity ratio, WACC, out-of-sample default probability RMSE, posterior credible-interval coverage, bias, PSIS-LOO model fit, systemic-loss quantiles (5th/50th/95th), power to detect contagion (ROC), and first-stage strength diagnostics (F-statistic). Experiments: (1) Full model vs baselines A–D; (2) Ablation 1: remove liquidity premium channel; (3) Ablation 2: set contagion theta=0 (no contagion); (4) Ablation 3: replace multiplicative q→p0/s0 mapping with logistic mapping; (5) Monte Carlo grid: vary sample size, instrument strength (F in {5,10,20}), measurement-noise (low/med/high), contagion theta in {0,0.05,0.1,0.2}, q in {0.2,0.5,0.8}, and network topology (sparse/dense/heavy-tailed). Report metrics for each cell and pre-registered decision thresholds (see experiments outputs) for instrument inclusion and SIMEX accept/reject.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Identification risk: leave-one-out shift-share instrument may violate monotonicity or linear-additivity; placebo tests may fail. Endogeneity of q: TLAC/bail-in spread may reflect bank resilience (reverse causality), making q hard to identify. Measurement-error issues: SIMEX extrapolation can be unstable (non-monotone or high variance); validation samples may be small or unrepresentative. Network uncertainty: bilateral exposure data are often missing, so reconstruction priors (max-entropy, gravity) can yield wide bounds. Model misspecification: Merton assumptions (lognormal asset dynamics, market completeness) may not hold for banks with liquidity runs and layered liabilities. Computational limits: NUTS on large hierarchical and network models can be slow or not converge given CPU/time budgets. External validity: calibrated results may not generalize across jurisdictions with different resolution regimes. Data gaps: TLAC, high-frequency CDS, and supervisory bilateral matrices may be incomplete or confidential, limiting empirical power. Policy-translation limits: partial-identification intervals can be large and may be hard for regulators to convert into a single capital rule.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