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sustained_customer_satisfaction_revenue</w:t>
      </w:r>
    </w:p>
    <w:p>
      <w:r>
        <w:t xml:space="preserve"> </w:t>
      </w:r>
    </w:p>
    <w:p>
      <w:pPr>
        <w:pStyle w:val="Heading2"/>
      </w:pPr>
      <w:r>
        <w:t>Title</w:t>
      </w:r>
    </w:p>
    <w:p>
      <w:r>
        <w:t>Panel causal inference and structural time-series estimation of the sustained effect of customer satisfaction on individual-level bank revenue</w:t>
      </w:r>
    </w:p>
    <w:p>
      <w:r>
        <w:t xml:space="preserve"> </w:t>
      </w:r>
    </w:p>
    <w:p>
      <w:pPr>
        <w:pStyle w:val="Heading2"/>
      </w:pPr>
      <w:r>
        <w:t>Short Hypothesis</w:t>
      </w:r>
    </w:p>
    <w:p>
      <w:r>
        <w:t>A sustained increase of 0.5 standard deviations in customer satisfaction (held for four consecutive quarters) causes a positive and measurable increase in individual customer-level bank revenue over the subsequent four quarters.</w:t>
      </w:r>
    </w:p>
    <w:p>
      <w:r>
        <w:t xml:space="preserve"> </w:t>
      </w:r>
    </w:p>
    <w:p>
      <w:pPr>
        <w:pStyle w:val="Heading2"/>
      </w:pPr>
      <w:r>
        <w:t>Related Work</w:t>
      </w:r>
    </w:p>
    <w:p>
      <w:r>
        <w:t>Existing work links customer satisfaction to firm-level financial outcomes using cross-sectional correlations, short-run randomized pilots, aggregate panel regressions, or single-method causal designs. Limitations of prior approaches include (1) reliance on bank- or market-level aggregates rather than customer-level linked survey and transaction data, (2) weak identification of sustained, multi-year effects because of short follow-up or simple pre/post comparisons, (3) incomplete treatment of measurement error in survey-based satisfaction (leading to attenuation bias), (4) limited dynamic modeling of timing and persistence (few studies combine structural time-series with panel DiD), (5) insufficient preregistration of thresholds and robustness rules, and (6) lack of integrated privacy accounting when publishing derived aggregates. These gaps reduce confidence in claims about long-run revenue impact and heterogeneous responses across satisfaction tiers.</w:t>
      </w:r>
    </w:p>
    <w:p>
      <w:r>
        <w:t xml:space="preserve"> </w:t>
      </w:r>
    </w:p>
    <w:p>
      <w:pPr>
        <w:pStyle w:val="Heading2"/>
      </w:pPr>
      <w:r>
        <w:t>Abstract</w:t>
      </w:r>
    </w:p>
    <w:p>
      <w:r>
        <w:t>This study quantifies whether and how sustained improvements in customer satisfaction drive individual-level bank revenue growth over horizons of one to four years. We combine linked survey responses and objective transaction records for a panel of retail customers, and apply a pre-registered analytic pipeline that integrates staggered difference-in-differences (DiD), instrumental variables (IV) for partial compliance, and structural vector autoregressions (SVAR) to capture dynamics. Key measurement safeguards include latent-score estimation with invariance testing, attenuation correction using McDonald’s omega, and a clear fallback when invariance fails. We publish Monte Carlo minimum detectable effect (MDE) grids and run differential-privacy utility simulations to report privacy–accuracy tradeoffs. Main contributions are (1) an individual-level causal estimate of sustained satisfaction effects on revenue, (2) a joint SVAR–DiD mapping of timing and persistence, and (3) pre-registered rules for measurement, inference under small clusters, and privacy-aware reporting. Expected outcome: reproducible, policy-relevant estimates of sustained revenue uplift and well-characterized heterogeneity across satisfaction tiers.</w:t>
      </w:r>
    </w:p>
    <w:p>
      <w:r>
        <w:t xml:space="preserve"> </w:t>
      </w:r>
    </w:p>
    <w:p>
      <w:pPr>
        <w:pStyle w:val="Heading2"/>
      </w:pPr>
      <w:r>
        <w:t>Experiments</w:t>
      </w:r>
    </w:p>
    <w:p>
      <w:r>
        <w:t>Datasets: linked customer-level survey responses and bank transaction records for 19,060 Swedish retail customers, panelized at quarterly frequency for up to 40 quarters where available. Construct a latent satisfaction score from multi-item surveys (CFA/IRT). Publish item-level metadata and McDonald’s omega. Treatment definition: binary sustained-treatment = latent ΔS &gt;= 0.5 SD for Y=4 consecutive quarters; sensitivity grid thresholds {0.25,0.5,0.75} SD and durations {2,4,8} quarters. Baselines: (A) two-way fixed effects OLS (TWFE) with quarter and bank FE, (B) staggered DiD estimators (Callaway &amp; Sant’Anna; Sun &amp; Abraham), (C) IV 2SLS where instrument examples include randomized pilot indicator and exogenous survey-timing shifts, (D) partial-linear IV (PLIV) for marginal dose effects, (E) SVAR and local-projection IRFs for dynamics, (F) synthetic-control as robustness for treated banks. Evaluation metrics: 4-quarter cumulative ATT in percent revenue and in SD units, standard error and 95% CI coverage, RMSE and bias relative to bootstrapped reference, MDE (80% power, α=0.05), instrument F-stat and partial R2, paired CI overlap rate for SVAR–DiD mapping. Inference setup: bank-clustered SEs with wild-cluster (Rademacher) bootstrap (B=2000 replications); Bell–McCaffrey correction reported when clusters in [30,50]; permutation inference with 10,000 permutations when clusters &lt;10. Measurement experiments: compare (1) joint SEM/latent-outcome estimation, (2) attenuation-corrected OLS using β_true=β_obs/ω with Monte Carlo draws of ω (1,000 draws), and (3) naive observed-score regressions (ablation). Dynamic experiments: estimate SVAR with pre-registered sign/timing restrictions and compare to local-projection IRFs; aggregate IRFs to 4-quarter horizon and compute paired bootstrap CIs (joint resampling of panel residuals and VAR residuals, 1,000 paired draws). Privacy experiments: apply Gaussian DP mechanism on published aggregates with ε ∈ {0.1,0.25,0.5,1,2,4}, δ=1e-6; report ATT bias, CI coverage, and MSE per ε. Heterogeneity and CATEs: pre-register five moderators (bank size tertiles, retail-share high/low, digital-channel-share high/low, baseline satisfaction tertile, region); run honest GRF/BART with 50/50 honest splitting and 5-fold cross-fitting; validate CATEs by replication in hold-out fold and compare to pre-specified subgroup ATEs. Ablation studies: (i) remove attenuation correction, (ii) replace SVAR with reduced-form local projections, (iii) omit DP noise, (iv) use alternative treatment thresholds. Reporting: publish seeds, software versions, unit tests, MDE grids, and pre-specified covariate lists for reproducibility.</w:t>
      </w:r>
    </w:p>
    <w:p>
      <w:r>
        <w:t xml:space="preserve"> </w:t>
      </w:r>
    </w:p>
    <w:p>
      <w:pPr>
        <w:pStyle w:val="Heading2"/>
      </w:pPr>
      <w:r>
        <w:t>Risk Factors And Limitations</w:t>
      </w:r>
    </w:p>
    <w:p>
      <w:r>
        <w:t>Confounding and identification: time-varying unobserved confounders may violate parallel trends or IV exclusion, producing biased ATT. Instrument weakness: low first-stage partial R2 or F&lt;10 will reduce IV reliability and inflate variance. Measurement risks: failure of measurement invariance or low omega undermines latent-score comparability and may produce incorrect attenuation corrections. Small-cluster inference: limited number of bank clusters reduces inference accuracy and may require permutation methods with reduced generalizability. DP noise: strong privacy noise (small ε) can bias ATT estimates and reduce CI coverage below targets. Dynamic model misspecification: SVAR restrictions or omitted common factors can misestimate persistence. Attrition and selection: nonrandom survey nonresponse or customer churn can bias estimates if MNAR (missing not at random). External validity: results from Swedish retail customers may not generalize to other countries, bank types, or time periods. Computational limits: joint SEM–IV and bootstrap joint-resampling are compute-intensive and may require substantial runtime for full replications.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