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intergen_mobility_maternal_role_latam</w:t>
      </w:r>
    </w:p>
    <w:p>
      <w:r>
        <w:t xml:space="preserve"> </w:t>
      </w:r>
    </w:p>
    <w:p>
      <w:pPr>
        <w:pStyle w:val="Heading2"/>
      </w:pPr>
      <w:r>
        <w:t>Title</w:t>
      </w:r>
    </w:p>
    <w:p>
      <w:r>
        <w:t>Estimating intergenerational mobility in education and income across five Latin American countries using parental education and occupation proxies, latent status measurement, and staggered difference-in-differences with linkage uncertainty</w:t>
      </w:r>
    </w:p>
    <w:p>
      <w:r>
        <w:t xml:space="preserve"> </w:t>
      </w:r>
    </w:p>
    <w:p>
      <w:pPr>
        <w:pStyle w:val="Heading2"/>
      </w:pPr>
      <w:r>
        <w:t>Short Hypothesis</w:t>
      </w:r>
    </w:p>
    <w:p>
      <w:r>
        <w:t>Greater maternal socioeconomic status, measured by a latent index combining maternal education and occupation, causes higher child education rank and higher adult income rank conditional on paternal status across cohorts in Brazil, Chile, Ecuador, Mexico, and Panama.</w:t>
      </w:r>
    </w:p>
    <w:p>
      <w:r>
        <w:t xml:space="preserve"> </w:t>
      </w:r>
    </w:p>
    <w:p>
      <w:pPr>
        <w:pStyle w:val="Heading2"/>
      </w:pPr>
      <w:r>
        <w:t>Related Work</w:t>
      </w:r>
    </w:p>
    <w:p>
      <w:r>
        <w:t>Prior work on intergenerational mobility typically measures parental background using a single proxy (parental education or occupation) and estimates rank-rank elasticities or intergenerational income elasticities using OLS or sibling fixed effects. Causal analyses of policy changes use staggered difference-in-differences (DiD) and event-study methods, but recent literature shows standard pooled DiD can give biased estimates when treatment timing varies (negative-weight problem). Measurement studies show that using single proxies creates measurement error and comparability problems across countries and cohorts. Linkage papers document bias from probabilistic matches but rarely propagate linkage uncertainty through causal estimators. Mediation literature provides tools for decomposing parental channels but often assumes full data and no MNAR (missing not at random). Limitations include: weak handling of measurement invariance across countries, inadequate propagation of linkage error, sensitivity of staggered DiD to negative weights and pre-trends, and lack of integrated simulation-calibrated thresholds for reporting cohort estimates.</w:t>
      </w:r>
    </w:p>
    <w:p>
      <w:r>
        <w:t xml:space="preserve"> </w:t>
      </w:r>
    </w:p>
    <w:p>
      <w:pPr>
        <w:pStyle w:val="Heading2"/>
      </w:pPr>
      <w:r>
        <w:t>Abstract</w:t>
      </w:r>
    </w:p>
    <w:p>
      <w:r>
        <w:t>We assess intergenerational mobility in education and income rank in Brazil, Chile, Ecuador, Mexico, and Panama by combining parental education and occupation as joint proxies for family socioeconomic background and by explicitly modeling maternal contributions. We build latent mother and father status indices (using confirmatory factor analysis, CFA, which estimates a hidden factor from observed indicators) and test measurement invariance across countries and cohorts. We link survey and administrative records probabilistically, generate multiple linkage draws (M≥20), and combine causal estimates across draws using Rubin pooling (a way to combine estimates and their variance from multiple imputed datasets). For causal inference we use staggered DiD event-study estimators (Callaway–Sant’Anna and Sun &amp; Abraham), report cohort ATTs (average treatment effects on the treated), and compute Goodman–Bacon decompositions to diagnose negative-weight bias. We pre-specify power (Neff and MDE) gates and run targeted simulations mapping plausible data-generating scenarios to operating characteristics. The contribution is an end-to-end, reproducible pipeline that quantifies how informative parental education and occupation are for mobility estimates, documents cross-country and temporal heterogeneity, and isolates maternal channels while accounting for linkage and inference uncertainty.</w:t>
      </w:r>
    </w:p>
    <w:p>
      <w:r>
        <w:t xml:space="preserve"> </w:t>
      </w:r>
    </w:p>
    <w:p>
      <w:pPr>
        <w:pStyle w:val="Heading2"/>
      </w:pPr>
      <w:r>
        <w:t>Experiments</w:t>
      </w:r>
    </w:p>
    <w:p>
      <w:r>
        <w:t>Datasets: national household surveys and administrative income/education records where available for Brazil (e.g., PNAD/ Cadastro linkage), Chile (e.g., CASEN/administrative), Ecuador, Mexico, and Panama; harmonize parental education (ISCED mapping) and occupation (ISCO prestige or occupation codes). Baselines: 1) OLS rank-rank and log-earnings elasticity using paternal education only; 2) same using paternal occupation only; 3) combined parental education and occupation as separate regressors; 4) latent parental status indices from CFA; 5) sibling or family fixed-effects model where siblings available; 6) staggered DiD pooled ATT (naive), Callaway–Sant’Anna, Sun &amp; Abraham, and stacked DiD. Linkage and pooling: implement probabilistic linkage producing M=20 draws; estimate each model per draw; pool point estimates and variances with Rubin rules; report per-draw bootstrap/wild-cluster p-value distributions. Inference: cluster-robust SEs, wild cluster bootstrap (999 reps) when cluster count 20–49, randomization inference if &lt;20. Pre-specified diagnostics: Neff (effective sample size) and MDE (minimum detectable effect) per cohort; joint pre-trend F-test and individual lead checks; Goodman–Bacon negative-weight share and ATT-change when excluding negative donors. Simulation study: factorial DGPs varying linkage error (0–30%), ICC (0–0.2), attrition (MCAR/MAR/MNAR), and heterogeneous cohort effects; report bias, RMSE, CI coverage, Type I/II to calibrate Neff and gate thresholds. Ablations: (A) with vs without linkage-uncertainty pooling; (B) latent index vs simple proxies; (C) include vs exclude maternal variables to quantify maternal contribution. Evaluation metrics: cohort and pooled ATT estimates, MDE, Neff, bias and coverage from simulations, negative-weight share, pre-trend p-values, CFA fit indices (RMSEA, CFI/TLI), and latent index R-squared.</w:t>
      </w:r>
    </w:p>
    <w:p>
      <w:r>
        <w:t xml:space="preserve"> </w:t>
      </w:r>
    </w:p>
    <w:p>
      <w:pPr>
        <w:pStyle w:val="Heading2"/>
      </w:pPr>
      <w:r>
        <w:t>Risk Factors And Limitations</w:t>
      </w:r>
    </w:p>
    <w:p>
      <w:r>
        <w:t>Linkage error: false matches or missed matches can bias estimates and increase variance when match quality is low. Low Neff in small cohorts: some cohorts or municipalities may not meet the reporting gates, forcing pooling that may mask heterogeneity. Negative-weight bias: staggered DiD pooled ATT can be driven by negative-weight comparisons and produce misleading pooled effects. Pre-trend and anticipation violations: policy timing anticipation can invalidate parallel trends. Measurement non-invariance: CFA latent indices may not be comparable across countries or cohorts, limiting pooled interpretation. MNAR and attrition: non-random missing data can bias mediation and mobility estimates. Small cluster counts: inference (clustered SEs) can be unreliable when number of clusters is small (&lt;50), complicating hypothesis tests. Computational cost: generating and analyzing M up to 200 linkage draws is time- and storage-intensive. External validity: findings from these five countries may not generalize to other settings with different labor markets or welfare regimes.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