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ecb_climate_eventstudy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Event-study and instrumental-variable analysis of ECB climate-related announcements on European banks' stock returns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ECB climate-related announcements cause measurable short-term abnormal stock returns for European banks, and the magnitude of the effect is positively related to each bank's climate exposure.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use event-study methods and narrative identification to assess central bank communications and climate policy impacts on asset prices. Other work builds bank-level climate exposure measures from disclosures or geographic mapping and uses NLP to quantify policy 'surprise'. Measurement-error corrections (SIMEX) and instrument-based methods (IV) have been applied to noisy exposures, while staggered difference-in-differences (DiD) estimators address timing heterogeneity. Limitations remain: many event studies ignore intraday microstructure and overlapping news; IV arguments for interaction terms (exposure × event) are under-documented and often weak; SIMEX assumes a specific error model that may be violated; NLP surprise measures can be multilingual and domain-shift sensitive; network spillovers and bank-level heterogeneity are often untested. These gaps leave open whether observed stock responses reflect causal effects of ECB climate communications, measurement error bias, or confounding from contemporaneous local shocks.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how ECB climate-related communications affect European banks' stock returns using high-frequency event-study methods combined with identification checks and measurement-error correction. We collect timestamped ECB announcements, build bank-level climate exposure scores by mapping loans and branch shares to climate hazard and sectoral transition indicators, and measure announcement surprise with a calibrated multilingual NLP classifier. The main strategy estimates cumulative abnormal returns (CARs) around intraday windows and identifies causal effects using interaction IVs (weather anomalies × event timing) and SIMEX bias correction for noisy exposures. Robust inference uses bank×event clustering, wild bootstrap, and multiple-testing control. We also run Monte Carlo simulations with realistic cross-section dependence and network spillovers to assess power and weak‑instrument behavior. The contribution is a reproducible, reviewer-ready pre-registered pipeline that provides transparent tests of instrument validity, clarifies measurement-error impact, and reports policy‑relevant effect sizes across bank subgroups. Expected outcome: credible estimates of immediate market pricing of ECB climate signals and bounds that account for measurement and identification uncertainty.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Intraday trade and quote data at 5-minute frequency for listed European banks over sample years (timestamps normalized to UTC). (2) ECB climate-related announcements with raw text and timestamps. (3) Bank-level climate exposures: primary loan-level EAD mapping to NUTS3 hazards and sectoral carbon intensity; fallback exposures: branch-share proxies and sectoral loan shares. (4) Instruments: regional weather anomaly time series, staggered national green-policy dates, long-run branch-location shares. Baselines: (A) standard market-model event-study CAR (no exposure interaction), (B) OLS panel with ClimateExposure×ECB_Event and controls, (C) staggered-DiD estimator (Callaway–Sant’Anna), (D) IV-2SLS for interaction, (E) SIMEX-corrected estimator. Metrics: cumulative abnormal returns (CAR) over windows, average treatment-on-the-treated (ATT), first-stage F-statistic, partial R², Anderson–Rubin confidence sets (AR CIs), t-statistics, Romano–Wolf familywise p-values, Monte Carlo minimum detectable effect (MDE), coverage of 90% CIs. Setup: primary intraday window [-30,+30] minutes around event, sampling at 5-minute mid-quotes; pre-event control windows [-60,-10] minutes; bank and time fixed effects; cluster standard errors by bank×event and report bank×date as robustness; wild-cluster bootstrap when clusters &lt;50. Ablations: (1) exclude overlapping events vs include composite-event model; (2) vary NLP surprise threshold {0.5,0.6,0.7}; (3) drop each instrument and report first-stage partial-R²; (4) use fallback exposure instead of loan-level EAD; (5) omit SIMEX or IV to compare bias. Monte Carlo: 5,000 reps across grid N∈{80,100,120}, events∈{30,50,100}, cross-correlation ρ∈{0.1,0.4,0.7}, network spillover s∈{0,0.1,0.3}, and weak first-stage scenarios (interaction partial-R² down to 0.5%). Reproducibility: provide synthetic datasets, fixed RNG seeds, containerized code, and unit tests for timing, previous-tick imputation, and apportionment rules.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exclusion failure: instruments (weather, policy timing, branch shares) may correlate with local economic news or policy responses, invalidating exclusion. Weak IV for the interaction: the ClimateExposure×ECB_Event first-stage can be weak, producing large confidence sets. Measurement-error model misspecification: SIMEX assumes classical additive error; if measurement error is nonclassical or correlated with covariates, bias correction may fail. Overlapping announcements and apportionment ambiguity: simultaneous non-ECB news may confound estimates and apportionment rules may be imperfect. High-frequency microstructure issues: stale quotes, latency, off-exchange trades, and thin trading can bias intraday CARs. NLP errors and multilingual text: classifier misclassification or domain shift across languages can mis-measure surprise. Data access and fallback validity: loan-level EAD may be unavailable in some jurisdictions, and fallback proxies may be noisy. Computational cost and scalability: 5-minute intraday panels, SIMEX, IV inference, and 5,000 MC reps are computationally heavy. External validity: results on listed banks and ECB announcements may not generalize to non-listed institutions or other central banks.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