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eu_funds_tfp_sdm</w:t>
      </w:r>
    </w:p>
    <w:p>
      <w:r>
        <w:t xml:space="preserve"> </w:t>
      </w:r>
    </w:p>
    <w:p>
      <w:pPr>
        <w:pStyle w:val="Heading2"/>
      </w:pPr>
      <w:r>
        <w:t>Title</w:t>
      </w:r>
    </w:p>
    <w:p>
      <w:r>
        <w:t>Dynamic spatial Durbin model analysis of EU cohesion funds' effect on regional total factor productivity growth</w:t>
      </w:r>
    </w:p>
    <w:p>
      <w:r>
        <w:t xml:space="preserve"> </w:t>
      </w:r>
    </w:p>
    <w:p>
      <w:pPr>
        <w:pStyle w:val="Heading2"/>
      </w:pPr>
      <w:r>
        <w:t>Short Hypothesis</w:t>
      </w:r>
    </w:p>
    <w:p>
      <w:r>
        <w:t>Higher cumulative per-capita EU cohesion fund drawdowns cause an increase in annual regional total factor productivity (TFP) growth in NUTS2 regions.</w:t>
      </w:r>
    </w:p>
    <w:p>
      <w:r>
        <w:t xml:space="preserve"> </w:t>
      </w:r>
    </w:p>
    <w:p>
      <w:pPr>
        <w:pStyle w:val="Heading2"/>
      </w:pPr>
      <w:r>
        <w:t>Related Work</w:t>
      </w:r>
    </w:p>
    <w:p>
      <w:r>
        <w:t>Existing work uses panel and spatial econometric methods to estimate policy effects on regional productivity, including fixed-effect panels, system-GMM for dynamics, and Spatial Durbin or spatial autoregressive models to capture spillovers. Applied studies often instrument fund allocations with rules-based eligibility or shift-share variants. Limitations remain: many studies compute TFP without accounting for heterogeneous capital accumulation across regions, producing biased TFP measures; spatial-weight uncertainty (choice of W) and temporally varying W are often untreated; instrument proliferation and weak-IV problems are not always controlled, yielding unreliable inference; dynamic-panel bias in short panels and appropriate finite-sample corrections receive uneven treatment; temporal heterogeneity (pre-crisis, crisis, recovery) and fund-type disaggregation (ERDF, ESF, CF, EAFRD) are under-explored simultaneously. These gaps reduce confidence in causal claims and in mapping direct versus spillover effects across space and time.</w:t>
      </w:r>
    </w:p>
    <w:p>
      <w:r>
        <w:t xml:space="preserve"> </w:t>
      </w:r>
    </w:p>
    <w:p>
      <w:pPr>
        <w:pStyle w:val="Heading2"/>
      </w:pPr>
      <w:r>
        <w:t>Abstract</w:t>
      </w:r>
    </w:p>
    <w:p>
      <w:r>
        <w:t>This study evaluates how European Structural and Investment Funds (ESIFs) affect regional total factor productivity (TFP) growth across 262 NUTS2 regions from 2000–2019. We compute regional TFP while explicitly accounting for heterogeneous capital accumulation and then estimate dynamic spatial effects using a Spatial Durbin Model (SDM) with a pre-registered estimator decision tree: bias-corrected LSDV with spatial HAC when feasible and system-GMM with finite-sample corrections for shorter panels. Identification exploits entitlement-based deterministic expected-allocation instruments and spatially lagged exogenous covariates, with pre-specified orthogonality diagnostics and Monte Carlo calibration of diagnostics and minimum detectable effects. We pre-register ensemble inference across multiple spatial weight matrices and decompose direct, indirect, and total effects by fund type and temporal phase (2000–2008, 2008–2014, 2014–2019). The main contribution is a reproducible, pre-registered pipeline that produces causally interpretable, spatially explicit estimates of ESIF effectiveness, clarifies temporal shifts in returns, and quantifies heterogeneity by absorptive capacity.</w:t>
      </w:r>
    </w:p>
    <w:p>
      <w:r>
        <w:t xml:space="preserve"> </w:t>
      </w:r>
    </w:p>
    <w:p>
      <w:pPr>
        <w:pStyle w:val="Heading2"/>
      </w:pPr>
      <w:r>
        <w:t>Experiments</w:t>
      </w:r>
    </w:p>
    <w:p>
      <w:r>
        <w:t>Datasets: panel of 262 NUTS2 regions, annual 2000–2019; regional GDP, employment, value added by sector; regional gross fixed capital formation by asset and sector; fund-level annual drawdowns and commitments by ERDF, ESF, CF, EAFRD; institutional variables (eligibility tiers, allocation keys, negotiated top-ups, national co-financing rates, MA staffing); pre-treatment fiscal transfers and political alignment; geospatial files for adjacency and distances. Baselines: (1) pooled OLS with region and year fixed effects; (2) bias-uncorrected dynamic LSDV; (3) bias-corrected LSDV with Conley HAC; (4) system-GMM dynamic panel; (5) SDM without instruments; (6) SDM with entitlement IV (2SLS) and spatial-GMM variants. Estimators and rules: follow pre-registered decision tree: if T&gt;15 use bias-corrected LSDV with Kiviet/Bun correction and Conley HAC; if T≤15 use two-step system-GMM with Windmeijer and Bruno adjustments; collapse instruments to cap at min(50,floor(N/3)); instrument lags default t-2:t-4 (sensitivity t-2 only and t-2:t-3). Spatial instruments: W×pre-treatment X. Evaluation metrics: estimated marginal effect (pp TFP per EUR1k), standard errors, 95% CI coverage, first-stage F and partial R2, AR(2) p-value, Hansen J p-value, Kleibergen-Paap weak-ID stat, out-of-sample RMSE (leave-one-region-out), Monte Carlo empirical power and MDE (pp TFP). Monte Carlo and inference: run 1,000 Monte Carlo replications over N/T grid and spatial rho {0.1,0.3,0.6}, ICC {0.01,0.05,0.10,0.20}, treatment sizes 0–1.0 pp per EUR1k, and instrument partial R2 0.01–0.10; use 1,000 bootstrap spatial block draws for CIs. Ablations/sensitivity: (A) omit entitlement IV (compare OLS/FE to IV); (B) drop spatial instruments (only internal GMM); (C) alternate ACI construction (PC1 vs alternative); (D) exclude heterogeneous capital accumulation in TFP computation; (E) vary W matrices (contiguity, inverse-distance, k-nearest, economic ties) and report ensemble stacking weights; (F) placebo tests: leads (pre-trend), geographic placebo zones, and policy-sham years. Reporting: include first-stage tables, instrument counts, diagnostics, model-averaged estimates, and MC-calibrated MDE and power tables for each specification.</w:t>
      </w:r>
    </w:p>
    <w:p>
      <w:r>
        <w:t xml:space="preserve"> </w:t>
      </w:r>
    </w:p>
    <w:p>
      <w:pPr>
        <w:pStyle w:val="Heading2"/>
      </w:pPr>
      <w:r>
        <w:t>Risk Factors And Limitations</w:t>
      </w:r>
    </w:p>
    <w:p>
      <w:r>
        <w:t>Weak or invalid instruments: entitlement IV may correlate with unobserved pre-trends or political factors causing biased IV estimates. Measurement error: capital stock and TFP estimates may be noisy, biasing effect sizes and inference. Spatial-weight misspecification: incorrect W choice or temporally varying W (NUTS revisions) can change spillover estimates. Small-sample issues: when effective cluster counts are low or uneven, finite-sample bias and poor CI coverage may persist despite corrections. Instrument proliferation: too many GMM instruments can overfit and weaken Hansen/overidentification tests. Computational scale: Monte Carlo grid, bootstrap, and ensemble estimation are compute-intensive. External validity: results apply to EU NUTS2 2000–2019 and may not generalize to other periods or levels of aggregation. Causal limits: unobserved time-varying confounders or simultaneous policy changes (national programs) can limit causal interpretation even with pre-registered diagnostics. Data gaps and coding choices: inconsistent reporting across funds, negotiated top-ups, and co-financing require harmonization decisions that affect estimates.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