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cap_reliable_relax_fix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Relax-and-fix heuristic and mathematical formulations for capacitated reliable fixed-charge facility location problems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For capacitated reliable fixed-charge facility location instances with site-dependent failure probabilities, the proposed relax-and-fix heuristic that uses conservative sequential lifting and a global SAA scenario pool will produce a smaller expected optimality gap than directly solving the linearized MIP within the same fixed CPU time budget.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facility location includes fixed-charge formulations and capacitated location models, stochastic facility location using sample average approximation (SAA), reliability models that consider facility failures, and relax-and-fix or large-neighborhood heuristics for mixed-integer problems. Existing reliable-location studies commonly assume uncapacitated servers, identical or simple failure models, or model reliability by preselecting backup facilities rather than allowing site-dependent failure probabilities with optional capacity expansion. Standard SAA practice and importance sampling have been applied to risk metrics like CVaR, but integration of SAA with relax-and-fix and with cut-generation (lifted cover, flow-cover cuts) is underdeveloped. Sequential lifting and cut-strengthening techniques exist for fixed-charge problems, yet their validity when computed on fractional y-values (facility open variables) is not formally resolved in prior applied work. Benchmarks and reproducible pipelines for comparing heuristics under disruption-tail events are also limited in scope and statistical rigor.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capacitated reliable fixed-charge facility location problem (CRFCFLP) where each candidate site has a site-dependent failure probability and capacity expansion is allowed after disruptions. We develop a non-linear mixed-integer programming model and a linearized version, and we propose a practical relax-and-fix heuristic that integrates conservative sequential lifting of cover inequalities with a global sample average approximation (SAA) scenario pool. The main contributions are: (1) formal mathematical formulations (non-linear and linear) for site-dependent reliability and optional capacity increases; (2) a relax-and-fix workflow that fixes high-impact facility variables progressively, applies conservative lifting when y is fractional, and invokes bounded local-branching repairs when reliability constraints are violated; and (3) a reproducible experimental protocol combining pilot-based adaptive SAA sizing, importance sampling for tail events, and out-of-sample validation. We expect the method to produce high-quality feasible solutions under realistic disruption patterns while enabling statistically supported comparisons of solution quality, unmet demand risk (CVaR), and runtime.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instance grid with customers n in {100,300,1000}, facilities m in {10,30,100}, capacity-demand ratios r in {0.8,1.0,1.5}, and demand heterogeneity levels. Failure models: independent Bernoulli per site with site-dependent p_j, regional block failures, and Gaussian-copula correlated failures. Scenario pools: generate 2000 raw scenarios per instance then perform importance sampling to enrich high-loss events and reduce to K in {200,500} using Wasserstein reduction. Baselines: (A) linearized MIP solved directly with a commercial solver (default settings), (B) same MIP with multi-cut Benders decomposition, (C) greedy top-r outage heuristic, (D) relax-and-fix without conservative sequential lifting (ablation). Proposed methods: relax-and-fix with conservative lifting and local repair. Evaluation metrics: expected total cost (objective), expected unmet demand (units), CVaR_0.95 of unmet demand, optimality gap relative to best-known solution, runtime (wall time), flip rate of fixed y variables, number of local repairs invoked. Experimental setup: 30 independent replications per instance; pilot SAA size n0 = 150; adaptive SAA using empirical-Bernstein with confidence δ = 0.05 and target error ε = 1% of baseline objective; require out-of-sample validation with N_val = 300 scenarios; CPU budget per run = 2 hours on 8 cores. Ablations: vary y-thresholds in {0.55,0.6,0.65}, initial block sizes {15%,25%,35%} and q neighborhood caps {5,10,20}. Statistical analysis: paired Wilcoxon signed-rank tests per instance, bootstrap 95% confidence intervals for primary metrics, and Holm correction for multiple endpoints.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pilot variance underestimation can under-size SAA and produce biased objective estimates (pilot variance is the variance of recourse cost per scenario); (2) heavy-tailed demand or rare but severe outages can yield extreme IS weights with small effective sample size n_eff, reducing reliability of CVaR estimates (n_eff is the number of independent samples effectively represented after weighting); (3) conservative sequential lifting weakens cuts by an additive amount tied to fractional parts of y, possibly reducing bound strength. Scalability limits: local-branching repair is exponential in neighborhood size q and may become infeasible for large q; exact separation MIPs for r-outage detection are exponential in m for worst-case instances. Solver nondeterminism: parallel solvers and heuristics can produce run-to-run variability that affects reproducibility. Model limitations: the linearized approximation may omit higher-order nonlinearity present in the original formulation and capacity-expansion policies assume immediate, discrete increases. Generalization constraints: results obtained on synthetic disruption models may not transfer directly to unseen, structured real-world failure patterns.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