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true_pricing_transportability</w:t>
      </w:r>
    </w:p>
    <w:p>
      <w:r>
        <w:t xml:space="preserve"> </w:t>
      </w:r>
    </w:p>
    <w:p>
      <w:pPr>
        <w:pStyle w:val="Heading2"/>
      </w:pPr>
      <w:r>
        <w:t>Title</w:t>
      </w:r>
    </w:p>
    <w:p>
      <w:r>
        <w:t>Joint Bayesian uncertainty propagation and transportability evaluation for consumer responses to true-pricing displays at point of sale</w:t>
      </w:r>
    </w:p>
    <w:p>
      <w:r>
        <w:t xml:space="preserve"> </w:t>
      </w:r>
    </w:p>
    <w:p>
      <w:pPr>
        <w:pStyle w:val="Heading2"/>
      </w:pPr>
      <w:r>
        <w:t>Short Hypothesis</w:t>
      </w:r>
    </w:p>
    <w:p>
      <w:r>
        <w:t>Displaying true-price surcharges as a point estimate plus a jurisdiction-weighted 90% confidence interval causes a reduction of at least 3 percentage points in the purchase probability of high-externality SKUs compared to displaying no surcharge information.</w:t>
      </w:r>
    </w:p>
    <w:p>
      <w:r>
        <w:t xml:space="preserve"> </w:t>
      </w:r>
    </w:p>
    <w:p>
      <w:pPr>
        <w:pStyle w:val="Heading2"/>
      </w:pPr>
      <w:r>
        <w:t>Related Work</w:t>
      </w:r>
    </w:p>
    <w:p>
      <w:r>
        <w:t>Existing work covers: (a) 'true pricing' and environmental labeling that monetize externalities; (b) consumer labeling studies comparing absolute vs relative price or attribute displays; (c) uncertainty communication research testing numeric intervals versus qualitative messages; (d) hierarchical demand models (mixed-effects logistic regressions) and causal machine-learning (causal forests) for heterogeneous treatment effects; and (e) statistical transportability and reweighting methods (IPW, raking, entropy balancing). Limitations: most studies do not propagate LCA (life-cycle assessment) posterior uncertainty into demand estimates, so they understate parameter covariance; CI-suppression rules (hiding wide intervals) lack calibrated legal/misinformation risk metrics; transportability results rarely cover clustered retail data with supplier heterogeneity; subgroup power (income quintiles, small suppliers) is often underpowered; and practical compute trade-offs (MCMC vs variational inference) and differential-privacy impacts on subgroup estimates are not well quantified.</w:t>
      </w:r>
    </w:p>
    <w:p>
      <w:r>
        <w:t xml:space="preserve"> </w:t>
      </w:r>
    </w:p>
    <w:p>
      <w:pPr>
        <w:pStyle w:val="Heading2"/>
      </w:pPr>
      <w:r>
        <w:t>Abstract</w:t>
      </w:r>
    </w:p>
    <w:p>
      <w:r>
        <w:t>We study how to communicate 'true prices'—retail prices adjusted for monetized environmental externalities—so that consumer choice models validly reflect uncertainty and transfer across jurisdictions. We combine LCA monetization posteriors with hierarchical demand models in a joint Bayesian framework (which means we propagate LCA uncertainty into behavioral estimates). We test display formats (no information, point estimate, point+90% CI, qualitative uncertainty) in large-scale surveys and field pilots, and we evaluate transportability across countries using reweighting and hierarchical pooling methods. Main contributions: (1) an audit-ready pipeline that forwards LCA posterior draws into mixed-effects choice models; (2) a calibrated suppression rule for consumer displays tied to a simulated legal/misinformation risk metric; (3) pre-registered transportability tests (holdout-jurisdiction CV, IPW/raking) and measurable thresholds for recalibration. Expected outcome: operational guidelines and quantitative thresholds for truth-in-pricing displays that preserve statistical validity, reduce regulatory risk, and quantify distributional impacts on consumer welfare across jurisdictions.</w:t>
      </w:r>
    </w:p>
    <w:p>
      <w:r>
        <w:t xml:space="preserve"> </w:t>
      </w:r>
    </w:p>
    <w:p>
      <w:pPr>
        <w:pStyle w:val="Heading2"/>
      </w:pPr>
      <w:r>
        <w:t>Experiments</w:t>
      </w:r>
    </w:p>
    <w:p>
      <w:r>
        <w:t>Datasets: (1) Survey experiment: N=1,400 (Dutch and Danish consumers) with randomized display formats; (2) Lab and online: N_lab=200-300, N_online≈1,000 per variant for UX validation; (3) Field pilot: transaction-level POS data with SKU metadata, target pilot clusters ≥40 clusters/arm, cluster size m∈{150,200,300}; (4) LCA posterior draws: multivariate posterior samples for SCC, water, biodiversity (jurisdiction-weighted mixture). Baselines: (A) no-information control; (B) point-only surcharge; (C) point+relative %; (D) qualitative uncertainty; (E) point+90% CI (treatment of interest). Models and inference: primary estimator = hierarchical logistic mixed-effects model (random intercepts for store and SKU, random slopes for treatment; explain: a mixed-effects model accounts for grouped data and allows effects to vary by group). Uncertainty propagation: joint Bayesian fit when feasible; draw-forward Monte Carlo where joint fit infeasible (forwarding LCA posterior samples into demand model). Computation: MCMC config required: 4 chains, warmup ≥1,000, post-warmup ≥1,000 draws per chain; variational inference (VI) used as low-latency fallback (explain: VI is a fast approximation to full Bayesian sampling). Evaluation metrics: primary behavioral = change in purchase probability / choice share; primary UX = comprehension score (3-item quiz), trust scale; calibration metrics = calibration slope/intercept, CI coverage, RMSE; legal/misinformation proxy = misclassification rate (fraction inferring surcharge≈0 when true posterior mass &gt;x) and decision-error share; equity metrics = regressivity index (difference in surcharge burden % between bottom/top income quintiles), opt-out ratio by income. Experimental setup: pre-register primary contrasts (point+90% CI vs control), cluster-randomized field tests, stratify randomization by store type; include pre-specified covariates for reweighting (age, income, household size, purchase frequency, SKU category, supplier origin). Power and simulation: publish seeded Monte-Carlo script sampling cluster sizes, ICC∈{0.01,0.02,0.03,0.05,0.10,0.20,0.30}, noncompliance/missingness scenarios and show sample-size tables to detect +3 p.p. treatment with 80% power. Ablations: (1) with vs without LCA uncertainty propagated; (2) display suppression rule ON vs OFF (suppress when relative 90% CI width&gt;50% or transactions&lt;100); (3) inference method: full joint MCMC vs draw-forward vs VI. Reporting: report posterior means and 90% credible intervals (explain: credible intervals are the Bayesian equivalent of confidence intervals), PSI and KL covariate-shift diagnostics for transportability tests.</w:t>
      </w:r>
    </w:p>
    <w:p>
      <w:r>
        <w:t xml:space="preserve"> </w:t>
      </w:r>
    </w:p>
    <w:p>
      <w:pPr>
        <w:pStyle w:val="Heading2"/>
      </w:pPr>
      <w:r>
        <w:t>Risk Factors And Limitations</w:t>
      </w:r>
    </w:p>
    <w:p>
      <w:r>
        <w:t>Technical failure modes: joint Bayesian fits may not converge at scale (divergent transitions, R-hat&gt;1.01), VI approximations can be biased (ELBO/KL gaps), and heavy-tailed monetization priors (biodiversity) can produce unstable surcharges. Data/evaluation biases: supplier self-selection, low transaction counts for niche SKUs, and survey non-response can bias estimates and reduce power for subgroups. Scalability and compute: full MCMC for hierarchical models with ~10k SKUs and ~5k stores may require 100–300 CPU core-hours nightly; real-time inference relies on VI approximations with degraded diagnostic guarantees. Limits to generalization: transportability can fail under covariate shift (different supplier mixes, price distributions, or cultural responses), and reweighting methods (IPW/raking) require overlap in covariate support. Privacy and measurement limits: differential-privacy noise can degrade subgroup estimates and equity metrics. Legal/regulatory constraints: display suppression choices may be contested and trigger appeals. Measurement: translating predictive errors into consumer-welfare loss has model dependence and may understate distributional harms.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