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flying_high_markup_decomposition</w:t>
      </w:r>
    </w:p>
    <w:p>
      <w:r>
        <w:t xml:space="preserve"> </w:t>
      </w:r>
    </w:p>
    <w:p>
      <w:pPr>
        <w:pStyle w:val="Heading2"/>
      </w:pPr>
      <w:r>
        <w:t>Title</w:t>
      </w:r>
    </w:p>
    <w:p>
      <w:r>
        <w:t>Tikhonov-regularized markup decomposition integrating product differentiation to measure profitability dynamics in the U.S. airline industry</w:t>
      </w:r>
    </w:p>
    <w:p>
      <w:r>
        <w:t xml:space="preserve"> </w:t>
      </w:r>
    </w:p>
    <w:p>
      <w:pPr>
        <w:pStyle w:val="Heading2"/>
      </w:pPr>
      <w:r>
        <w:t>Short Hypothesis</w:t>
      </w:r>
    </w:p>
    <w:p>
      <w:r>
        <w:t>Greater product differentiation across airline offerings (measured by observable output attributes) causally raises firm-level markups, holding marginal costs and capacity constraints constant.</w:t>
      </w:r>
    </w:p>
    <w:p>
      <w:r>
        <w:t xml:space="preserve"> </w:t>
      </w:r>
    </w:p>
    <w:p>
      <w:pPr>
        <w:pStyle w:val="Heading2"/>
      </w:pPr>
      <w:r>
        <w:t>Related Work</w:t>
      </w:r>
    </w:p>
    <w:p>
      <w:r>
        <w:t>Existing approaches decompose markups or estimate demand to recover markups but face limitations. Classical markup decomposition methods (e.g., Lovell-style decompositions) recover industry or firm profitability but typically ignore product differentiation as an explicit driver. Structural demand estimators (BLP/mixed-logit) recover price elasticities and markups but suffer from inversion instability when many small shares or nearly collinear product attributes exist. Cost-recovery and low-cost carrier studies emphasize operational efficiency but often abstract from rich product attributes and dynamic inventory effects. Recent work uses hierarchical models and reproducible pipelines, but open challenges remain: weak or many instruments in clustered panels, treatment of zero shares and new-entry products, and partial identification when capacity constraints violate unconstrained Bertrand assumptions. These gaps produce unstable markup estimates and limited regulator credibility in policy counterfactuals.</w:t>
      </w:r>
    </w:p>
    <w:p>
      <w:r>
        <w:t xml:space="preserve"> </w:t>
      </w:r>
    </w:p>
    <w:p>
      <w:pPr>
        <w:pStyle w:val="Heading2"/>
      </w:pPr>
      <w:r>
        <w:t>Abstract</w:t>
      </w:r>
    </w:p>
    <w:p>
      <w:r>
        <w:t>We propose a method to decompose annual markup changes that explicitly incorporates product differentiation as an economic driver and stabilizes markup recovery using Tikhonov (ridge) regularization. The approach combines structural demand estimation with an availability model for product offerings and a regularized inversion of the markup system to recover marginal costs and markups robustly. Main contributions are (1) integrating observable output attributes into a decomposition framework to quantify how differentiation affects profitability, (2) applying a principled regularization and diagnostic routine for the Δ inversion that reports singular-value spectra and λ-sensitivity, and (3) publishing a reproducible data and simulation validation pipeline to assess identification and inference under weak instruments, zero shares, and capacity constraints. Expected outcomes are regulator-ready estimates of markups and welfare decompositions with honest uncertainty (including partial-identification sets where point identification fails) and clear diagnostics that expose when conclusions depend on modeling choices or weak identification.</w:t>
      </w:r>
    </w:p>
    <w:p>
      <w:r>
        <w:t xml:space="preserve"> </w:t>
      </w:r>
    </w:p>
    <w:p>
      <w:pPr>
        <w:pStyle w:val="Heading2"/>
      </w:pPr>
      <w:r>
        <w:t>Experiments</w:t>
      </w:r>
    </w:p>
    <w:p>
      <w:r>
        <w:t>Datasets: BTS T-100 segment-level operating and cost aggregates, DB1B fare-sample microdata, carrier schedules and equipment, timestamped availability/inventory when available, and auxiliary maintenance/AOG and weather incident logs. Sample: 20 U.S. carriers, ~20 years of annual panels; route×quarter and flight-level aggregations as needed. Baselines: (A) Lovell-style markup decomposition without product differentiation; (B) standard BLP mixed-logit demand + unconstrained Bertrand markup recovery (no regularization); (C) BLP with nested-logit or latent-class alternatives; (D) unconstrained demand with no availability imputation. Proposed method: BLP mixed-logit demand with product-attribute terms, hierarchical availability probit, Δ inversion with Tikhonov regularization using λ grid {1e-6,1e-5,1e-4,1e-3,1e-2}, and instrument selection via cluster-LASSO capped per rule. Evaluation metrics: RMSE and bias of recovered markups and marginal costs (in simulation), 95% coverage (confidence set or set-estimate), condition number and smallest retained singular value of Δ, first-stage partial R2 and Kleibergen–Paap rk, reconciliation error against T-100 aggregates (target within ±10–15%), and policy-relevant distances in consumer/producer surplus. Simulation validation: 500 simulated markets with 5–12 products, 10–20% true zeros, 15% entry/exit, share noise SD ∈ {0.5%,1.5%,5%}, and weak- to strong-IV scenarios. Estimation setup: multiple-imputation for availability (200 draws), clustered bootstrap 1,000 reps (fallback 500), Halton/Sobol draws for contraction (200 pilot, 1,000 final), and multi-start optimizers ≥10. Ablations: (1) remove product-attribute terms to measure their contribution to markup variation; (2) vary λ selection rule (GCV vs fixed λ) and report λ-path; (3) compare instrument sets (full, prefiltered, post-LASSO) and IV estimators (2SLS, LIML, jackknife LIML); (4) dynamic estimation vs bounding under reduced state density. Report all diagnostics and decision thresholds pre-registered.</w:t>
      </w:r>
    </w:p>
    <w:p>
      <w:r>
        <w:t xml:space="preserve"> </w:t>
      </w:r>
    </w:p>
    <w:p>
      <w:pPr>
        <w:pStyle w:val="Heading2"/>
      </w:pPr>
      <w:r>
        <w:t>Risk Factors And Limitations</w:t>
      </w:r>
    </w:p>
    <w:p>
      <w:r>
        <w:t>Weak or many instruments in clustered panels may produce wide confidence sets or biased estimates; many-instrument bias can invalidate standard IV (risk of misleading point estimates). Δ inversion can be numerically unstable when product attributes are collinear or many small shares exist; regularization reduces but does not eliminate model sensitivity. Misclassification of true zeros (products never offered) versus measurement zeros (sampled zero shares) can bias demand inversion and markup recovery. DB1B sampling differences versus T-100 create calibration uncertainty and possible representativeness bias in fare-weighting and IPW schemes. Dynamic estimation suffers from state-space sparsity (few observations per inventory/time bucket), limiting identification and forcing partial-identification bounds. Computational cost: nested imputations (200) × bootstraps (1,000) × multi-starts may exceed available compute and memory, forcing approximations that affect precision. Results may not generalize outside U.S. scheduled airlines where fare rules, codeshares, and slot markets differ.</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