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epistemic_virtue_interference</w:t>
      </w:r>
    </w:p>
    <w:p>
      <w:r>
        <w:t xml:space="preserve"> </w:t>
      </w:r>
    </w:p>
    <w:p>
      <w:pPr>
        <w:pStyle w:val="Heading2"/>
      </w:pPr>
      <w:r>
        <w:t>Title</w:t>
      </w:r>
    </w:p>
    <w:p>
      <w:r>
        <w:t>Causal mediation and agent-based calibration to evaluate individual epistemic virtue effects on collective scientific reliability under interference</w:t>
      </w:r>
    </w:p>
    <w:p>
      <w:r>
        <w:t xml:space="preserve"> </w:t>
      </w:r>
    </w:p>
    <w:p>
      <w:pPr>
        <w:pStyle w:val="Heading2"/>
      </w:pPr>
      <w:r>
        <w:t>Short Hypothesis</w:t>
      </w:r>
    </w:p>
    <w:p>
      <w:r>
        <w:t>Increasing individual epistemic virtue (higher update weight and higher probability of constructive speaking) causes higher collective scientific reliability (higher accuracy and reproducibility) even when structural incentives are held constant.</w:t>
      </w:r>
    </w:p>
    <w:p>
      <w:r>
        <w:t xml:space="preserve"> </w:t>
      </w:r>
    </w:p>
    <w:p>
      <w:pPr>
        <w:pStyle w:val="Heading2"/>
      </w:pPr>
      <w:r>
        <w:t>Related Work</w:t>
      </w:r>
    </w:p>
    <w:p>
      <w:r>
        <w:t>Existing approaches split into two families: structural explanations that attribute collective scientific success to incentives, division of labor, and market-like 'invisible hand' mechanisms, and agent-centered models that emphasize individual dispositions or virtues. Methods for causal inference with interference (spillovers) and two-stage randomization exist but often assume no treatment-induced mediator–outcome confounders or limited-range spillovers. Agent-based models (ABMs) and Approximate Bayesian Computation (ABC) have been used to calibrate social processes from data, and psychometrics supports measurement of latent traits. Limitations: structural accounts can understate the role of individual behavior in sustaining institutions; naive mediation methods produce biased estimates under interference; many ABM calibrations lack rigorous ethnographic priors and uncertainty propagation; measurement pipelines often do not pre-specify DIF (differential item functioning) or coder→model mappings. This project addresses these gaps by combining interference-aware causal estimators, ABM+ABC calibration with ethnographic priors, and preregistered measurement rules.</w:t>
      </w:r>
    </w:p>
    <w:p>
      <w:r>
        <w:t xml:space="preserve"> </w:t>
      </w:r>
    </w:p>
    <w:p>
      <w:pPr>
        <w:pStyle w:val="Heading2"/>
      </w:pPr>
      <w:r>
        <w:t>Abstract</w:t>
      </w:r>
    </w:p>
    <w:p>
      <w:r>
        <w:t>We study whether and how individual epistemic virtues (stable tendencies to seek truth, admit error, and update on evidence) causally contribute to the collective success of scientific institutions in producing reliable, reproducible knowledge. We combine interference-aware causal mediation methods, two-stage randomized designs, agent-based models (ABMs), and Approximate Bayesian Computation (ABC) calibrated with ethnographic priors and bibliometric anchors. Main contributions: (1) explicit estimands and preregistered identification under neighborhood exposure functions that allow spillovers; (2) simulation and lab experiments that contrast naive mediation (which ignores interference) against exposure-aware IPW, TMLE, and Bayesian mediation; (3) a documented crosswalk from ethnographic codes to ABM parameters with hierarchical measurement-error models for coder uncertainty. Expected outcome: quantifiable evidence on whether individual virtues have a detectable mediated effect on group-level reliability, along with reproducible pipelines for combining qualitative priors and causal inference under interference. The work will clarify when individual virtue matters beyond structural incentives.</w:t>
      </w:r>
    </w:p>
    <w:p>
      <w:r>
        <w:t xml:space="preserve"> </w:t>
      </w:r>
    </w:p>
    <w:p>
      <w:pPr>
        <w:pStyle w:val="Heading2"/>
      </w:pPr>
      <w:r>
        <w:t>Experiments</w:t>
      </w:r>
    </w:p>
    <w:p>
      <w:r>
        <w:t>1) Synthetic simulation grid: generate networks with densities {sparse, medium, dense}, interference strength α∈{0,0.2,0.5,0.8}, treatment-induced confounding τ∈{0,0.2,0.5}, group size n∈{5,7}, groups G∈{50,100,200,400}. For each cell simulate 1,000 replicates of an ABM where individual trait "virtue" -&gt; update_weight (beta1∈[0.1,0.4]) -&gt; outcome accuracy (beta2∈[0.2,0.5]). Evaluate estimators: naive mediation (Imai-style), exposure-aware IPW (inverse-probability weighting using exposure propensity), TMLE adapted to networks (targeted maximum likelihood), and Bayesian hierarchical causal mediation (Stan). Metrics: bias of ACME estimate, RMSE, 95% interval coverage, Type I error. Ablation: include vs exclude treatment-induced confounder to evaluate assumption violations.</w:t>
        <w:br/>
        <w:t>2) Pilot lab experiment: two-stage randomization (stage1: assign groups to global treatment proportions; stage2: individual assignment stratified by topology). Sample: G=200 groups, n≈5, tasks measuring accuracy and reproducibility. Exposure classes pre-specified: isolated, partial, saturated. Metrics: group Brier score (probability accuracy), rounds-to-consensus, marginalized-uptake fraction, posterior Pr(ACME&gt;0). Baselines: structural-only manipulation (modify incentives) and control.</w:t>
        <w:br/>
        <w:t>3) Ethnography→ABM calibration: collect coded observations from 10–15 labs (6–12 interviews/lab). Create crosswalk: for each code produce name, operational definition, units, distribution family, transform, expected range, default prior hyperparameters. Use Cooke-style expert elicitation (8–12 experts) and map coder labels to priors via hierarchical measurement-error model. Run ABC-SMC pilot: summary vector as preregistered, Mahalanobis distance on prior-predictive covariance, epsilon schedule percentiles 75→50→25→10→5, require ESS≥500. Compare calibrated ABM outputs when priors include ethnography vs diffuse priors (ablation).</w:t>
        <w:br/>
        <w:t>4) Measurement pilot: develop 8–12 items per virtue, pilot N≥1000, subgroup n≥400 for DIF. Fit CFA/IRT; flag items p&lt;0.001 and effect&gt;0.25 logits. Metrics: CFI, RMSEA, SRMR, DIF rate. Ablation: results using full item pool vs reduced invariant pool.</w:t>
        <w:br/>
        <w:t xml:space="preserve">5) Power scans: compute minimum detectable standardized ACME (MDE) defined as smallest ACME with posterior Pr(ACME&gt;0)≥0.8 across ICC and degree-heterogeneity grid. Report sample sizes achieving MDE≤0.15. </w:t>
        <w:br/>
        <w:t>Software and reproducibility: tmle/SuperLearner for TMLE, tmlenet or custom TMLE for networks, cmdstanr for Bayesian models, Docker containers and CI for pipelines. All random seeds logged. Data: synthetic networks, lab experimental data, ethnographic coded data, and bibliometric anchor datasets (publication and citation networks) for priors.</w:t>
      </w:r>
    </w:p>
    <w:p>
      <w:r>
        <w:t xml:space="preserve"> </w:t>
      </w:r>
    </w:p>
    <w:p>
      <w:pPr>
        <w:pStyle w:val="Heading2"/>
      </w:pPr>
      <w:r>
        <w:t>Risk Factors And Limitations</w:t>
      </w:r>
    </w:p>
    <w:p>
      <w:r>
        <w:t>1) Identification failure: untestable assumptions may be false (treatment-induced mediator–outcome confounding; long-range spillovers beyond modeled radius). 2) Estimator disagreement: IPW, TMLE, and Bayesian estimates may diverge without a pre-specified adjudication producing ambiguous conclusions. 3) Measurement error: low intercoder reliability or DIF in virtues scales can bias priors and ABM calibration. 4) Noncompliance and missingness: partial compliance, MNAR (missing not at random), or selective attrition can invalidate estimates. 5) Computational cost: ABC-SMC full calibration may require tens of thousands of CPU-hours and substantial cost. 6) Generalizability: lab and ABM results may not scale to diverse disciplines or large-scale institutional structures. 7) Ethical/privacy constraints: ethnographic observations and bibliometric linking risk re-identification and require strict governance. 8) Power limits: small group sizes and high ICC or degree heterogeneity can inflate MDE beyond practical sample sizes. 9) ABM misspecification: simplified agent rules may fail to capture key social behaviors, producing misleading calibrated parameters. 10) Multiplicity: many estimands and exposure mappings increase false discovery risk if not strictly reported as primary vs exploratory.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