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gender_visibility_founders_de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mixed-methods longitudinal study of how visibility practices by women tech founders in Germany causally affect investor funding outcomes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Women tech founders who adopt 'undoing' visibility tactics (strategies that de-emphasize conventional gendered signals) will achieve higher funding outcomes within 12 months than comparable founders who perform 'doing' gender visibility tactics, conditional on preregistered covariates.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includes qualitative studies documenting that women founders alter public self-presentation and visibility to navigate gendered expectations, and quantitative studies linking founder traits to funding with cross-sectional methods. Existing approaches are limited by: 1) reliance on cross-sectional or retrospective data that cannot establish temporal precedence or causal mediation; 2) inconsistent measurement of gendered practices (few validated scales, limited measurement invariance checks); 3) sampling frames that under-cover key strata (migration status, region, stage) and weak linkage reproducibility; 4) inadequate handling of small intersectional cells and privacy risks in public outputs; and 5) few preregistered analytic decision rules for mediation, DP, and clerical linkage. These gaps limit causal identification, generalizability, and reproducibility.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evaluates whether and how visibility practices by women tech founders in Germany influence investor funding. We combine a preregistered mixed-methods longitudinal design: T1 baseline measurement of gender performance and visibility tactics, T2 mediators (investor perceptions, network access, credibility signals) at 3 months, and T3 funding outcomes at 6–12 months; vignette experiments and in-depth interviews augment survey measures. Quantitative measurement uses EFA→CFA and IRT (2PL/graded) to operationalize four latent constructs (Gender Performance/Identity Work; Visibility Tactics; Undoing Strategies; Perceived Bias). Causal analyses preregister Bayesian SEM mediation, and g-methods for time-varying confounding. Data governance includes pilot linkage to Handelsregister/Dealroom frames, deterministic clerical thresholds, and differential privacy sweeps (candidate epsilons {0.1,1,4,8}). Main contributions: validated, invariant scales for gendered visibility; preregistered causal tests of undoing vs doing visibility effects on funding; reproducible privacy-aware outputs. Expected outcome: transparent evidence on whether visibility strategies causally shape funding and guidance for ethical, reproducible measurement.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sample: target n=800 survey respondents (women founders of German tech startups) drawn from Handelsregister-anchored frame with Dealroom/Crunchbase linkage; stratified by region×sector×stage×migration status. Qualitative: purposive interviews n=40–60 and longitudinal diaries n=20. Baselines: 1) cross-sectional OLS/logistic regression adjusting for covariates; 2) naive longitudinal regression without mediation; 3) vignette-only ATE estimates. Measurement pipeline: split-sample (40% EFA, 60% CFA) to test a four-factor model versus a bifactor alternative; IRT 2PL/graded models for item discrimination and threshold ordering. Evaluation metrics: funding amount (log euros) RMSE and bias; binary funding receipt AUC and calibration; mediation ACME posterior mean and 95% credible interval; invariance metrics ΔCFI and ΔRMSEA; IRT discrimination (a&gt;0.50) and S-X2 p&gt;0.01 after FDR; differential privacy utility: relative RMSE change and standardized coefficient bias; re-identification risk metric (nearest-neighbor match rate). Causal tests: primary analysis = Bayesian SEM mediation (priors: paths mean 0.10, SD 0.10; draws 4,000 post-warmup) with temporally ordered measures; ablation 1 = marginal structural model (MSM) with inverse probability of treatment weights to compare time-varying confounding handling; ablation 2 = standard regression adjustment. Additional ablations: remove Perceived Bias mediator; compare four-factor CFA vs bifactor; compare trimming rules (cap at 99th percentile vs max weight = median×10) and report ESS and design effect. Missing data: multiple imputation m=20 using auxiliary vars. Linkage pilot: n≈500 to estimate match error; clerical review rule comparisons: thresholds accept p≥0.95 vs 0.90. DP experiments: utility-risk sweep for epsilons {0.1,1,4,8} and synthetic-data baseline. Report all analyses as preregistered confirmatory or exploratory.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Time-varying confounding and unmeasured post-treatment confounders may bias mediation; g-methods may still rely on strong no-unmeasured-confounding assumptions. Sampling frame gaps could underrepresent migrant or early-stage founders, limiting generalization. Small intersectional cells will limit quantitative inference; suppression reduces public utility. Measurement risk: scales may fail invariance across migration or region, reducing comparability. Differential privacy trade-offs: low epsilon values degrade statistical utility; high epsilon increases disclosure risk. Clerical linkage introduces human error and privacy exposure. Multiple imputation assumes missing-at-random conditional on auxiliaries; violations bias estimates. Bayesian SEM and hierarchical models increase compute and may have slow convergence for complex mediators. Results will be context-specific to the German tech ecosystem and may not generalize to other countries or sectors.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